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A63" w:rsidRPr="008E5504" w:rsidRDefault="00646A63" w:rsidP="0047432F">
      <w:pPr>
        <w:spacing w:after="600"/>
        <w:jc w:val="right"/>
        <w:rPr>
          <w:rFonts w:ascii="Arial" w:hAnsi="Arial" w:cs="Arial"/>
          <w:sz w:val="22"/>
          <w:szCs w:val="22"/>
        </w:rPr>
      </w:pPr>
      <w:r>
        <w:rPr>
          <w:rFonts w:ascii="Arial" w:hAnsi="Arial" w:cs="Arial"/>
          <w:bCs/>
          <w:sz w:val="22"/>
          <w:szCs w:val="22"/>
        </w:rPr>
        <w:t>I.</w:t>
      </w:r>
    </w:p>
    <w:p w:rsidR="00646A63" w:rsidRDefault="00646A63" w:rsidP="005D5581">
      <w:pPr>
        <w:spacing w:after="240"/>
        <w:jc w:val="center"/>
        <w:rPr>
          <w:rFonts w:ascii="Arial" w:hAnsi="Arial" w:cs="Arial"/>
          <w:b/>
          <w:bCs/>
          <w:sz w:val="22"/>
          <w:szCs w:val="22"/>
        </w:rPr>
      </w:pPr>
      <w:r w:rsidRPr="007A3A45">
        <w:rPr>
          <w:rFonts w:ascii="Arial" w:hAnsi="Arial" w:cs="Arial"/>
          <w:b/>
          <w:bCs/>
          <w:szCs w:val="22"/>
        </w:rPr>
        <w:t>Informace ministra financí k </w:t>
      </w:r>
      <w:r>
        <w:rPr>
          <w:rFonts w:ascii="Arial" w:hAnsi="Arial" w:cs="Arial"/>
          <w:b/>
          <w:bCs/>
          <w:szCs w:val="22"/>
        </w:rPr>
        <w:t>mlčenlivosti</w:t>
      </w:r>
      <w:r w:rsidRPr="007A3A45">
        <w:rPr>
          <w:rFonts w:ascii="Arial" w:hAnsi="Arial" w:cs="Arial"/>
          <w:b/>
          <w:bCs/>
          <w:szCs w:val="22"/>
        </w:rPr>
        <w:t xml:space="preserve"> Fina</w:t>
      </w:r>
      <w:r>
        <w:rPr>
          <w:rFonts w:ascii="Arial" w:hAnsi="Arial" w:cs="Arial"/>
          <w:b/>
          <w:bCs/>
          <w:szCs w:val="22"/>
        </w:rPr>
        <w:t>n</w:t>
      </w:r>
      <w:r w:rsidRPr="007A3A45">
        <w:rPr>
          <w:rFonts w:ascii="Arial" w:hAnsi="Arial" w:cs="Arial"/>
          <w:b/>
          <w:bCs/>
          <w:szCs w:val="22"/>
        </w:rPr>
        <w:t xml:space="preserve">ční správy České republiky </w:t>
      </w:r>
      <w:r>
        <w:rPr>
          <w:rFonts w:ascii="Arial" w:hAnsi="Arial" w:cs="Arial"/>
          <w:b/>
          <w:bCs/>
          <w:szCs w:val="22"/>
        </w:rPr>
        <w:t>a využívání zajišťovacích příkazů ze strany Finanční správy</w:t>
      </w:r>
    </w:p>
    <w:p w:rsidR="00646A63" w:rsidRPr="00E877A9" w:rsidRDefault="00646A63" w:rsidP="00242386">
      <w:pPr>
        <w:spacing w:after="240"/>
        <w:jc w:val="both"/>
        <w:rPr>
          <w:rFonts w:ascii="Arial" w:hAnsi="Arial" w:cs="Arial"/>
          <w:b/>
          <w:bCs/>
          <w:sz w:val="22"/>
          <w:szCs w:val="22"/>
        </w:rPr>
      </w:pPr>
      <w:r w:rsidRPr="00E877A9">
        <w:rPr>
          <w:rFonts w:ascii="Arial" w:hAnsi="Arial" w:cs="Arial"/>
          <w:b/>
          <w:bCs/>
          <w:sz w:val="22"/>
          <w:szCs w:val="22"/>
        </w:rPr>
        <w:t>Úvod</w:t>
      </w:r>
    </w:p>
    <w:p w:rsidR="00646A63" w:rsidRDefault="00646A63" w:rsidP="005F702F">
      <w:pPr>
        <w:spacing w:after="240"/>
        <w:jc w:val="both"/>
        <w:rPr>
          <w:rFonts w:ascii="Arial" w:hAnsi="Arial" w:cs="Arial"/>
          <w:b/>
          <w:bCs/>
          <w:sz w:val="22"/>
          <w:szCs w:val="22"/>
        </w:rPr>
      </w:pPr>
      <w:r w:rsidRPr="007A3A45">
        <w:rPr>
          <w:rFonts w:ascii="Arial" w:hAnsi="Arial" w:cs="Arial"/>
          <w:bCs/>
          <w:sz w:val="22"/>
          <w:szCs w:val="22"/>
        </w:rPr>
        <w:t xml:space="preserve">Ministr financí na základě </w:t>
      </w:r>
      <w:r>
        <w:rPr>
          <w:rFonts w:ascii="Arial" w:hAnsi="Arial" w:cs="Arial"/>
          <w:bCs/>
          <w:sz w:val="22"/>
          <w:szCs w:val="22"/>
        </w:rPr>
        <w:t xml:space="preserve">žádosti předsedy vlády České republiky ze dne 24. října 2017 předkládá informaci, jejímž obsahem je aktualizace materiálu </w:t>
      </w:r>
      <w:r>
        <w:rPr>
          <w:rFonts w:ascii="Arial" w:hAnsi="Arial" w:cs="Arial"/>
          <w:bCs/>
          <w:i/>
          <w:sz w:val="22"/>
          <w:szCs w:val="22"/>
        </w:rPr>
        <w:t>„Informace ministra financí o </w:t>
      </w:r>
      <w:r w:rsidRPr="00F2762C">
        <w:rPr>
          <w:rFonts w:ascii="Arial" w:hAnsi="Arial" w:cs="Arial"/>
          <w:bCs/>
          <w:i/>
          <w:sz w:val="22"/>
          <w:szCs w:val="22"/>
        </w:rPr>
        <w:t>postupech Finanční správy České republiky ve vě</w:t>
      </w:r>
      <w:r>
        <w:rPr>
          <w:rFonts w:ascii="Arial" w:hAnsi="Arial" w:cs="Arial"/>
          <w:bCs/>
          <w:i/>
          <w:sz w:val="22"/>
          <w:szCs w:val="22"/>
        </w:rPr>
        <w:t>ci zajišťovacích příkazů a tzv. </w:t>
      </w:r>
      <w:r w:rsidRPr="00F2762C">
        <w:rPr>
          <w:rFonts w:ascii="Arial" w:hAnsi="Arial" w:cs="Arial"/>
          <w:bCs/>
          <w:i/>
          <w:sz w:val="22"/>
          <w:szCs w:val="22"/>
        </w:rPr>
        <w:t>korunových dluhopisů“</w:t>
      </w:r>
      <w:r>
        <w:rPr>
          <w:rFonts w:ascii="Arial" w:hAnsi="Arial" w:cs="Arial"/>
          <w:bCs/>
          <w:sz w:val="22"/>
          <w:szCs w:val="22"/>
        </w:rPr>
        <w:t xml:space="preserve">, který vláda projednala a vzala na vědomí dne 25. září 2017 (dále jen „Informace č.j. 999/17“), a to v části týkající se metodického pokynu Finanční správy České republiky (dále jen „Finanční správa“) k vydávání zajišťovacích příkazů. Součástí předkládané informace je rovněž informace o daňové mlčenlivosti Finanční správy. </w:t>
      </w:r>
    </w:p>
    <w:p w:rsidR="00646A63" w:rsidRDefault="00646A63" w:rsidP="00933B15">
      <w:pPr>
        <w:jc w:val="both"/>
        <w:rPr>
          <w:rFonts w:ascii="Arial" w:hAnsi="Arial" w:cs="Arial"/>
          <w:b/>
          <w:bCs/>
          <w:sz w:val="22"/>
          <w:szCs w:val="22"/>
        </w:rPr>
      </w:pPr>
      <w:r>
        <w:rPr>
          <w:rFonts w:ascii="Arial" w:hAnsi="Arial" w:cs="Arial"/>
          <w:b/>
          <w:bCs/>
          <w:sz w:val="22"/>
          <w:szCs w:val="22"/>
        </w:rPr>
        <w:t>Využívání zajišťovacích příkazů</w:t>
      </w:r>
    </w:p>
    <w:p w:rsidR="00646A63" w:rsidRDefault="00646A63" w:rsidP="00933B15">
      <w:pPr>
        <w:jc w:val="both"/>
        <w:rPr>
          <w:rFonts w:ascii="Arial" w:hAnsi="Arial" w:cs="Arial"/>
          <w:b/>
          <w:bCs/>
          <w:sz w:val="22"/>
          <w:szCs w:val="22"/>
        </w:rPr>
      </w:pPr>
    </w:p>
    <w:p w:rsidR="00646A63" w:rsidRDefault="00646A63" w:rsidP="00933B15">
      <w:pPr>
        <w:jc w:val="both"/>
        <w:rPr>
          <w:rFonts w:ascii="Arial" w:hAnsi="Arial" w:cs="Arial"/>
          <w:bCs/>
          <w:sz w:val="22"/>
          <w:szCs w:val="22"/>
        </w:rPr>
      </w:pPr>
      <w:r>
        <w:rPr>
          <w:rFonts w:ascii="Arial" w:hAnsi="Arial" w:cs="Arial"/>
          <w:bCs/>
          <w:sz w:val="22"/>
          <w:szCs w:val="22"/>
        </w:rPr>
        <w:t>S</w:t>
      </w:r>
      <w:r w:rsidRPr="00B57743">
        <w:rPr>
          <w:rFonts w:ascii="Arial" w:hAnsi="Arial" w:cs="Arial"/>
          <w:bCs/>
          <w:sz w:val="22"/>
          <w:szCs w:val="22"/>
        </w:rPr>
        <w:t xml:space="preserve">tatistiky týkající se využívání zajišťovacích příkazů v roce 2017 a ukončených soudních řízení byly součástí dříve </w:t>
      </w:r>
      <w:r>
        <w:rPr>
          <w:rFonts w:ascii="Arial" w:hAnsi="Arial" w:cs="Arial"/>
          <w:bCs/>
          <w:sz w:val="22"/>
          <w:szCs w:val="22"/>
        </w:rPr>
        <w:t>předložené Informace č.j. 999/17. S ohledem na skutečnost, že od </w:t>
      </w:r>
      <w:r w:rsidRPr="00B57743">
        <w:rPr>
          <w:rFonts w:ascii="Arial" w:hAnsi="Arial" w:cs="Arial"/>
          <w:bCs/>
          <w:sz w:val="22"/>
          <w:szCs w:val="22"/>
        </w:rPr>
        <w:t>zmíněného jednání vlády uplynulo relativně velmi krátké časové období, došlo pouze k nevýznamnému posunu v dané věci.</w:t>
      </w:r>
      <w:r>
        <w:rPr>
          <w:rFonts w:ascii="Arial" w:hAnsi="Arial" w:cs="Arial"/>
          <w:bCs/>
          <w:sz w:val="22"/>
          <w:szCs w:val="22"/>
        </w:rPr>
        <w:t xml:space="preserve"> Z tohoto důvodu jsou níže uvedeny statistické údaje obsažené v Informaci č.j. 999/17. </w:t>
      </w:r>
    </w:p>
    <w:p w:rsidR="00646A63" w:rsidRPr="00B57743" w:rsidRDefault="00646A63" w:rsidP="00933B15">
      <w:pPr>
        <w:jc w:val="both"/>
        <w:rPr>
          <w:rFonts w:ascii="Arial" w:hAnsi="Arial" w:cs="Arial"/>
          <w:bCs/>
          <w:sz w:val="22"/>
          <w:szCs w:val="22"/>
        </w:rPr>
      </w:pPr>
    </w:p>
    <w:p w:rsidR="00646A63" w:rsidRPr="00805F5D" w:rsidRDefault="00646A63" w:rsidP="00CF5B27">
      <w:pPr>
        <w:jc w:val="right"/>
        <w:rPr>
          <w:rFonts w:ascii="Arial" w:hAnsi="Arial" w:cs="Arial"/>
          <w:bCs/>
          <w:i/>
          <w:sz w:val="14"/>
          <w:szCs w:val="22"/>
        </w:rPr>
      </w:pPr>
      <w:r>
        <w:rPr>
          <w:rFonts w:ascii="Arial" w:hAnsi="Arial" w:cs="Arial"/>
          <w:bCs/>
          <w:i/>
          <w:sz w:val="14"/>
          <w:szCs w:val="22"/>
        </w:rPr>
        <w:t>stav k 31. 7. 2017</w:t>
      </w:r>
    </w:p>
    <w:tbl>
      <w:tblPr>
        <w:tblW w:w="9080" w:type="dxa"/>
        <w:tblInd w:w="55" w:type="dxa"/>
        <w:tblCellMar>
          <w:left w:w="70" w:type="dxa"/>
          <w:right w:w="70" w:type="dxa"/>
        </w:tblCellMar>
        <w:tblLook w:val="00A0"/>
      </w:tblPr>
      <w:tblGrid>
        <w:gridCol w:w="700"/>
        <w:gridCol w:w="840"/>
        <w:gridCol w:w="720"/>
        <w:gridCol w:w="720"/>
        <w:gridCol w:w="660"/>
        <w:gridCol w:w="660"/>
        <w:gridCol w:w="780"/>
        <w:gridCol w:w="720"/>
        <w:gridCol w:w="800"/>
        <w:gridCol w:w="800"/>
        <w:gridCol w:w="760"/>
        <w:gridCol w:w="920"/>
      </w:tblGrid>
      <w:tr w:rsidR="00646A63" w:rsidRPr="00653EE4" w:rsidTr="0007169B">
        <w:trPr>
          <w:trHeight w:val="165"/>
        </w:trPr>
        <w:tc>
          <w:tcPr>
            <w:tcW w:w="700" w:type="dxa"/>
            <w:tcBorders>
              <w:top w:val="single" w:sz="8" w:space="0" w:color="auto"/>
              <w:left w:val="single" w:sz="8" w:space="0" w:color="auto"/>
              <w:bottom w:val="single" w:sz="8" w:space="0" w:color="auto"/>
              <w:right w:val="single" w:sz="4" w:space="0" w:color="auto"/>
            </w:tcBorders>
            <w:shd w:val="clear" w:color="000000" w:fill="D9D9D9"/>
            <w:noWrap/>
            <w:vAlign w:val="center"/>
          </w:tcPr>
          <w:p w:rsidR="00646A63" w:rsidRPr="00653EE4" w:rsidRDefault="00646A63" w:rsidP="0007169B">
            <w:pPr>
              <w:jc w:val="center"/>
              <w:rPr>
                <w:rFonts w:ascii="Arial" w:hAnsi="Arial" w:cs="Arial"/>
                <w:color w:val="000000"/>
                <w:sz w:val="10"/>
                <w:szCs w:val="10"/>
              </w:rPr>
            </w:pPr>
            <w:r w:rsidRPr="00653EE4">
              <w:rPr>
                <w:rFonts w:ascii="Arial" w:hAnsi="Arial" w:cs="Arial"/>
                <w:color w:val="000000"/>
                <w:sz w:val="10"/>
                <w:szCs w:val="10"/>
              </w:rPr>
              <w:t>1</w:t>
            </w:r>
          </w:p>
        </w:tc>
        <w:tc>
          <w:tcPr>
            <w:tcW w:w="840" w:type="dxa"/>
            <w:tcBorders>
              <w:top w:val="single" w:sz="8" w:space="0" w:color="auto"/>
              <w:left w:val="nil"/>
              <w:bottom w:val="single" w:sz="8" w:space="0" w:color="auto"/>
              <w:right w:val="single" w:sz="4" w:space="0" w:color="auto"/>
            </w:tcBorders>
            <w:shd w:val="clear" w:color="000000" w:fill="D9D9D9"/>
            <w:noWrap/>
            <w:vAlign w:val="center"/>
          </w:tcPr>
          <w:p w:rsidR="00646A63" w:rsidRPr="00653EE4" w:rsidRDefault="00646A63" w:rsidP="0007169B">
            <w:pPr>
              <w:jc w:val="center"/>
              <w:rPr>
                <w:rFonts w:ascii="Arial" w:hAnsi="Arial" w:cs="Arial"/>
                <w:color w:val="000000"/>
                <w:sz w:val="10"/>
                <w:szCs w:val="10"/>
              </w:rPr>
            </w:pPr>
            <w:r w:rsidRPr="00653EE4">
              <w:rPr>
                <w:rFonts w:ascii="Arial" w:hAnsi="Arial" w:cs="Arial"/>
                <w:color w:val="000000"/>
                <w:sz w:val="10"/>
                <w:szCs w:val="10"/>
              </w:rPr>
              <w:t>2</w:t>
            </w:r>
          </w:p>
        </w:tc>
        <w:tc>
          <w:tcPr>
            <w:tcW w:w="720" w:type="dxa"/>
            <w:tcBorders>
              <w:top w:val="single" w:sz="8" w:space="0" w:color="auto"/>
              <w:left w:val="nil"/>
              <w:bottom w:val="single" w:sz="8" w:space="0" w:color="auto"/>
              <w:right w:val="single" w:sz="4" w:space="0" w:color="auto"/>
            </w:tcBorders>
            <w:shd w:val="clear" w:color="000000" w:fill="D9D9D9"/>
            <w:noWrap/>
            <w:vAlign w:val="center"/>
          </w:tcPr>
          <w:p w:rsidR="00646A63" w:rsidRPr="00653EE4" w:rsidRDefault="00646A63" w:rsidP="0007169B">
            <w:pPr>
              <w:jc w:val="center"/>
              <w:rPr>
                <w:rFonts w:ascii="Arial" w:hAnsi="Arial" w:cs="Arial"/>
                <w:color w:val="000000"/>
                <w:sz w:val="10"/>
                <w:szCs w:val="10"/>
              </w:rPr>
            </w:pPr>
            <w:r w:rsidRPr="00653EE4">
              <w:rPr>
                <w:rFonts w:ascii="Arial" w:hAnsi="Arial" w:cs="Arial"/>
                <w:color w:val="000000"/>
                <w:sz w:val="10"/>
                <w:szCs w:val="10"/>
              </w:rPr>
              <w:t>3</w:t>
            </w:r>
          </w:p>
        </w:tc>
        <w:tc>
          <w:tcPr>
            <w:tcW w:w="720" w:type="dxa"/>
            <w:tcBorders>
              <w:top w:val="single" w:sz="8" w:space="0" w:color="auto"/>
              <w:left w:val="nil"/>
              <w:bottom w:val="single" w:sz="8" w:space="0" w:color="auto"/>
              <w:right w:val="nil"/>
            </w:tcBorders>
            <w:shd w:val="clear" w:color="000000" w:fill="D9D9D9"/>
            <w:noWrap/>
            <w:vAlign w:val="center"/>
          </w:tcPr>
          <w:p w:rsidR="00646A63" w:rsidRPr="00653EE4" w:rsidRDefault="00646A63" w:rsidP="0007169B">
            <w:pPr>
              <w:jc w:val="center"/>
              <w:rPr>
                <w:rFonts w:ascii="Arial" w:hAnsi="Arial" w:cs="Arial"/>
                <w:color w:val="000000"/>
                <w:sz w:val="10"/>
                <w:szCs w:val="10"/>
              </w:rPr>
            </w:pPr>
            <w:r w:rsidRPr="00653EE4">
              <w:rPr>
                <w:rFonts w:ascii="Arial" w:hAnsi="Arial" w:cs="Arial"/>
                <w:color w:val="000000"/>
                <w:sz w:val="10"/>
                <w:szCs w:val="10"/>
              </w:rPr>
              <w:t>4</w:t>
            </w:r>
          </w:p>
        </w:tc>
        <w:tc>
          <w:tcPr>
            <w:tcW w:w="660" w:type="dxa"/>
            <w:tcBorders>
              <w:top w:val="single" w:sz="8" w:space="0" w:color="auto"/>
              <w:left w:val="single" w:sz="8" w:space="0" w:color="auto"/>
              <w:bottom w:val="single" w:sz="8" w:space="0" w:color="auto"/>
              <w:right w:val="single" w:sz="4" w:space="0" w:color="auto"/>
            </w:tcBorders>
            <w:shd w:val="clear" w:color="000000" w:fill="D9D9D9"/>
            <w:noWrap/>
            <w:vAlign w:val="center"/>
          </w:tcPr>
          <w:p w:rsidR="00646A63" w:rsidRPr="00653EE4" w:rsidRDefault="00646A63" w:rsidP="0007169B">
            <w:pPr>
              <w:jc w:val="center"/>
              <w:rPr>
                <w:rFonts w:ascii="Arial" w:hAnsi="Arial" w:cs="Arial"/>
                <w:color w:val="000000"/>
                <w:sz w:val="10"/>
                <w:szCs w:val="10"/>
              </w:rPr>
            </w:pPr>
            <w:r w:rsidRPr="00653EE4">
              <w:rPr>
                <w:rFonts w:ascii="Arial" w:hAnsi="Arial" w:cs="Arial"/>
                <w:color w:val="000000"/>
                <w:sz w:val="10"/>
                <w:szCs w:val="10"/>
              </w:rPr>
              <w:t>5</w:t>
            </w:r>
          </w:p>
        </w:tc>
        <w:tc>
          <w:tcPr>
            <w:tcW w:w="660" w:type="dxa"/>
            <w:tcBorders>
              <w:top w:val="single" w:sz="8" w:space="0" w:color="auto"/>
              <w:left w:val="nil"/>
              <w:bottom w:val="single" w:sz="8" w:space="0" w:color="auto"/>
              <w:right w:val="single" w:sz="4" w:space="0" w:color="auto"/>
            </w:tcBorders>
            <w:shd w:val="clear" w:color="000000" w:fill="D9D9D9"/>
            <w:noWrap/>
            <w:vAlign w:val="center"/>
          </w:tcPr>
          <w:p w:rsidR="00646A63" w:rsidRPr="00653EE4" w:rsidRDefault="00646A63" w:rsidP="0007169B">
            <w:pPr>
              <w:jc w:val="center"/>
              <w:rPr>
                <w:rFonts w:ascii="Arial" w:hAnsi="Arial" w:cs="Arial"/>
                <w:color w:val="000000"/>
                <w:sz w:val="10"/>
                <w:szCs w:val="10"/>
              </w:rPr>
            </w:pPr>
            <w:r w:rsidRPr="00653EE4">
              <w:rPr>
                <w:rFonts w:ascii="Arial" w:hAnsi="Arial" w:cs="Arial"/>
                <w:color w:val="000000"/>
                <w:sz w:val="10"/>
                <w:szCs w:val="10"/>
              </w:rPr>
              <w:t>6</w:t>
            </w:r>
          </w:p>
        </w:tc>
        <w:tc>
          <w:tcPr>
            <w:tcW w:w="780" w:type="dxa"/>
            <w:tcBorders>
              <w:top w:val="single" w:sz="8" w:space="0" w:color="auto"/>
              <w:left w:val="nil"/>
              <w:bottom w:val="single" w:sz="8" w:space="0" w:color="auto"/>
              <w:right w:val="single" w:sz="4" w:space="0" w:color="auto"/>
            </w:tcBorders>
            <w:shd w:val="clear" w:color="000000" w:fill="D9D9D9"/>
            <w:noWrap/>
            <w:vAlign w:val="center"/>
          </w:tcPr>
          <w:p w:rsidR="00646A63" w:rsidRPr="00653EE4" w:rsidRDefault="00646A63" w:rsidP="0007169B">
            <w:pPr>
              <w:jc w:val="center"/>
              <w:rPr>
                <w:rFonts w:ascii="Arial" w:hAnsi="Arial" w:cs="Arial"/>
                <w:color w:val="000000"/>
                <w:sz w:val="10"/>
                <w:szCs w:val="10"/>
              </w:rPr>
            </w:pPr>
            <w:r w:rsidRPr="00653EE4">
              <w:rPr>
                <w:rFonts w:ascii="Arial" w:hAnsi="Arial" w:cs="Arial"/>
                <w:color w:val="000000"/>
                <w:sz w:val="10"/>
                <w:szCs w:val="10"/>
              </w:rPr>
              <w:t>7</w:t>
            </w:r>
          </w:p>
        </w:tc>
        <w:tc>
          <w:tcPr>
            <w:tcW w:w="720" w:type="dxa"/>
            <w:tcBorders>
              <w:top w:val="single" w:sz="8" w:space="0" w:color="auto"/>
              <w:left w:val="nil"/>
              <w:bottom w:val="single" w:sz="8" w:space="0" w:color="auto"/>
              <w:right w:val="single" w:sz="4" w:space="0" w:color="auto"/>
            </w:tcBorders>
            <w:shd w:val="clear" w:color="000000" w:fill="D9D9D9"/>
            <w:noWrap/>
            <w:vAlign w:val="center"/>
          </w:tcPr>
          <w:p w:rsidR="00646A63" w:rsidRPr="00653EE4" w:rsidRDefault="00646A63" w:rsidP="0007169B">
            <w:pPr>
              <w:jc w:val="center"/>
              <w:rPr>
                <w:rFonts w:ascii="Arial" w:hAnsi="Arial" w:cs="Arial"/>
                <w:color w:val="000000"/>
                <w:sz w:val="10"/>
                <w:szCs w:val="10"/>
              </w:rPr>
            </w:pPr>
            <w:r w:rsidRPr="00653EE4">
              <w:rPr>
                <w:rFonts w:ascii="Arial" w:hAnsi="Arial" w:cs="Arial"/>
                <w:color w:val="000000"/>
                <w:sz w:val="10"/>
                <w:szCs w:val="10"/>
              </w:rPr>
              <w:t>8</w:t>
            </w:r>
          </w:p>
        </w:tc>
        <w:tc>
          <w:tcPr>
            <w:tcW w:w="800" w:type="dxa"/>
            <w:tcBorders>
              <w:top w:val="single" w:sz="8" w:space="0" w:color="auto"/>
              <w:left w:val="nil"/>
              <w:bottom w:val="single" w:sz="8" w:space="0" w:color="auto"/>
              <w:right w:val="single" w:sz="4" w:space="0" w:color="auto"/>
            </w:tcBorders>
            <w:shd w:val="clear" w:color="000000" w:fill="D9D9D9"/>
            <w:noWrap/>
            <w:vAlign w:val="center"/>
          </w:tcPr>
          <w:p w:rsidR="00646A63" w:rsidRPr="00653EE4" w:rsidRDefault="00646A63" w:rsidP="0007169B">
            <w:pPr>
              <w:jc w:val="center"/>
              <w:rPr>
                <w:rFonts w:ascii="Arial" w:hAnsi="Arial" w:cs="Arial"/>
                <w:color w:val="000000"/>
                <w:sz w:val="10"/>
                <w:szCs w:val="10"/>
              </w:rPr>
            </w:pPr>
            <w:r w:rsidRPr="00653EE4">
              <w:rPr>
                <w:rFonts w:ascii="Arial" w:hAnsi="Arial" w:cs="Arial"/>
                <w:color w:val="000000"/>
                <w:sz w:val="10"/>
                <w:szCs w:val="10"/>
              </w:rPr>
              <w:t>9</w:t>
            </w:r>
          </w:p>
        </w:tc>
        <w:tc>
          <w:tcPr>
            <w:tcW w:w="800" w:type="dxa"/>
            <w:tcBorders>
              <w:top w:val="single" w:sz="8" w:space="0" w:color="auto"/>
              <w:left w:val="nil"/>
              <w:bottom w:val="single" w:sz="8" w:space="0" w:color="auto"/>
              <w:right w:val="single" w:sz="4" w:space="0" w:color="auto"/>
            </w:tcBorders>
            <w:shd w:val="clear" w:color="000000" w:fill="D9D9D9"/>
            <w:noWrap/>
            <w:vAlign w:val="center"/>
          </w:tcPr>
          <w:p w:rsidR="00646A63" w:rsidRPr="00653EE4" w:rsidRDefault="00646A63" w:rsidP="0007169B">
            <w:pPr>
              <w:jc w:val="center"/>
              <w:rPr>
                <w:rFonts w:ascii="Arial" w:hAnsi="Arial" w:cs="Arial"/>
                <w:color w:val="000000"/>
                <w:sz w:val="10"/>
                <w:szCs w:val="10"/>
              </w:rPr>
            </w:pPr>
            <w:r w:rsidRPr="00653EE4">
              <w:rPr>
                <w:rFonts w:ascii="Arial" w:hAnsi="Arial" w:cs="Arial"/>
                <w:color w:val="000000"/>
                <w:sz w:val="10"/>
                <w:szCs w:val="10"/>
              </w:rPr>
              <w:t>10</w:t>
            </w:r>
          </w:p>
        </w:tc>
        <w:tc>
          <w:tcPr>
            <w:tcW w:w="760" w:type="dxa"/>
            <w:tcBorders>
              <w:top w:val="single" w:sz="8" w:space="0" w:color="auto"/>
              <w:left w:val="nil"/>
              <w:bottom w:val="single" w:sz="8" w:space="0" w:color="auto"/>
              <w:right w:val="single" w:sz="4" w:space="0" w:color="auto"/>
            </w:tcBorders>
            <w:shd w:val="clear" w:color="000000" w:fill="D9D9D9"/>
            <w:noWrap/>
            <w:vAlign w:val="center"/>
          </w:tcPr>
          <w:p w:rsidR="00646A63" w:rsidRPr="00653EE4" w:rsidRDefault="00646A63" w:rsidP="0007169B">
            <w:pPr>
              <w:jc w:val="center"/>
              <w:rPr>
                <w:rFonts w:ascii="Arial" w:hAnsi="Arial" w:cs="Arial"/>
                <w:color w:val="000000"/>
                <w:sz w:val="10"/>
                <w:szCs w:val="10"/>
              </w:rPr>
            </w:pPr>
            <w:r w:rsidRPr="00653EE4">
              <w:rPr>
                <w:rFonts w:ascii="Arial" w:hAnsi="Arial" w:cs="Arial"/>
                <w:color w:val="000000"/>
                <w:sz w:val="10"/>
                <w:szCs w:val="10"/>
              </w:rPr>
              <w:t>11</w:t>
            </w:r>
          </w:p>
        </w:tc>
        <w:tc>
          <w:tcPr>
            <w:tcW w:w="920" w:type="dxa"/>
            <w:tcBorders>
              <w:top w:val="single" w:sz="8" w:space="0" w:color="auto"/>
              <w:left w:val="nil"/>
              <w:bottom w:val="single" w:sz="8" w:space="0" w:color="auto"/>
              <w:right w:val="single" w:sz="8" w:space="0" w:color="auto"/>
            </w:tcBorders>
            <w:shd w:val="clear" w:color="000000" w:fill="D9D9D9"/>
            <w:noWrap/>
            <w:vAlign w:val="center"/>
          </w:tcPr>
          <w:p w:rsidR="00646A63" w:rsidRPr="00653EE4" w:rsidRDefault="00646A63" w:rsidP="0007169B">
            <w:pPr>
              <w:jc w:val="center"/>
              <w:rPr>
                <w:rFonts w:ascii="Arial" w:hAnsi="Arial" w:cs="Arial"/>
                <w:color w:val="000000"/>
                <w:sz w:val="10"/>
                <w:szCs w:val="10"/>
              </w:rPr>
            </w:pPr>
            <w:r w:rsidRPr="00653EE4">
              <w:rPr>
                <w:rFonts w:ascii="Arial" w:hAnsi="Arial" w:cs="Arial"/>
                <w:color w:val="000000"/>
                <w:sz w:val="10"/>
                <w:szCs w:val="10"/>
              </w:rPr>
              <w:t>12</w:t>
            </w:r>
          </w:p>
        </w:tc>
      </w:tr>
      <w:tr w:rsidR="00646A63" w:rsidRPr="00653EE4" w:rsidTr="0007169B">
        <w:trPr>
          <w:trHeight w:val="360"/>
        </w:trPr>
        <w:tc>
          <w:tcPr>
            <w:tcW w:w="700" w:type="dxa"/>
            <w:vMerge w:val="restart"/>
            <w:tcBorders>
              <w:top w:val="nil"/>
              <w:left w:val="single" w:sz="8" w:space="0" w:color="auto"/>
              <w:bottom w:val="single" w:sz="4" w:space="0" w:color="auto"/>
              <w:right w:val="single" w:sz="8" w:space="0" w:color="auto"/>
            </w:tcBorders>
            <w:shd w:val="clear" w:color="000000" w:fill="D9D9D9"/>
            <w:noWrap/>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Rok</w:t>
            </w:r>
          </w:p>
        </w:tc>
        <w:tc>
          <w:tcPr>
            <w:tcW w:w="3600" w:type="dxa"/>
            <w:gridSpan w:val="5"/>
            <w:tcBorders>
              <w:top w:val="single" w:sz="8" w:space="0" w:color="auto"/>
              <w:left w:val="nil"/>
              <w:bottom w:val="single" w:sz="8" w:space="0" w:color="auto"/>
              <w:right w:val="single" w:sz="8" w:space="0" w:color="000000"/>
            </w:tcBorders>
            <w:shd w:val="clear" w:color="000000" w:fill="D9D9D9"/>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Zajišťovací příkazy (ZajP)</w:t>
            </w:r>
          </w:p>
        </w:tc>
        <w:tc>
          <w:tcPr>
            <w:tcW w:w="3100" w:type="dxa"/>
            <w:gridSpan w:val="4"/>
            <w:tcBorders>
              <w:top w:val="single" w:sz="8" w:space="0" w:color="auto"/>
              <w:left w:val="nil"/>
              <w:bottom w:val="single" w:sz="8" w:space="0" w:color="auto"/>
              <w:right w:val="single" w:sz="8" w:space="0" w:color="000000"/>
            </w:tcBorders>
            <w:shd w:val="clear" w:color="000000" w:fill="D9D9D9"/>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Úhrady ze zajištění</w:t>
            </w:r>
          </w:p>
        </w:tc>
        <w:tc>
          <w:tcPr>
            <w:tcW w:w="760" w:type="dxa"/>
            <w:vMerge w:val="restart"/>
            <w:tcBorders>
              <w:top w:val="nil"/>
              <w:left w:val="single" w:sz="8" w:space="0" w:color="auto"/>
              <w:bottom w:val="single" w:sz="4" w:space="0" w:color="auto"/>
              <w:right w:val="single" w:sz="8" w:space="0" w:color="auto"/>
            </w:tcBorders>
            <w:shd w:val="clear" w:color="000000" w:fill="D9D9D9"/>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Počet plátců DPH</w:t>
            </w:r>
          </w:p>
        </w:tc>
        <w:tc>
          <w:tcPr>
            <w:tcW w:w="920" w:type="dxa"/>
            <w:vMerge w:val="restart"/>
            <w:tcBorders>
              <w:top w:val="nil"/>
              <w:left w:val="nil"/>
              <w:bottom w:val="single" w:sz="4" w:space="0" w:color="auto"/>
              <w:right w:val="single" w:sz="8" w:space="0" w:color="auto"/>
            </w:tcBorders>
            <w:shd w:val="clear" w:color="000000" w:fill="D9D9D9"/>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Poměr mezi úhradami ze zajištění a zajištěnou částkou</w:t>
            </w:r>
          </w:p>
        </w:tc>
      </w:tr>
      <w:tr w:rsidR="00646A63" w:rsidRPr="00653EE4" w:rsidTr="0007169B">
        <w:trPr>
          <w:trHeight w:val="390"/>
        </w:trPr>
        <w:tc>
          <w:tcPr>
            <w:tcW w:w="700" w:type="dxa"/>
            <w:vMerge/>
            <w:tcBorders>
              <w:top w:val="nil"/>
              <w:left w:val="single" w:sz="8" w:space="0" w:color="auto"/>
              <w:bottom w:val="single" w:sz="4" w:space="0" w:color="auto"/>
              <w:right w:val="single" w:sz="8" w:space="0" w:color="auto"/>
            </w:tcBorders>
            <w:vAlign w:val="center"/>
          </w:tcPr>
          <w:p w:rsidR="00646A63" w:rsidRPr="00653EE4" w:rsidRDefault="00646A63" w:rsidP="0007169B">
            <w:pPr>
              <w:rPr>
                <w:rFonts w:ascii="Arial" w:hAnsi="Arial" w:cs="Arial"/>
                <w:b/>
                <w:bCs/>
                <w:color w:val="000000"/>
                <w:sz w:val="14"/>
                <w:szCs w:val="14"/>
              </w:rPr>
            </w:pPr>
          </w:p>
        </w:tc>
        <w:tc>
          <w:tcPr>
            <w:tcW w:w="840" w:type="dxa"/>
            <w:vMerge w:val="restart"/>
            <w:tcBorders>
              <w:top w:val="nil"/>
              <w:left w:val="nil"/>
              <w:bottom w:val="single" w:sz="4" w:space="0" w:color="auto"/>
              <w:right w:val="single" w:sz="4" w:space="0" w:color="auto"/>
            </w:tcBorders>
            <w:shd w:val="clear" w:color="000000" w:fill="D9D9D9"/>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Počet vydaných ZajP</w:t>
            </w:r>
          </w:p>
        </w:tc>
        <w:tc>
          <w:tcPr>
            <w:tcW w:w="720" w:type="dxa"/>
            <w:vMerge w:val="restart"/>
            <w:tcBorders>
              <w:top w:val="nil"/>
              <w:left w:val="single" w:sz="4" w:space="0" w:color="auto"/>
              <w:bottom w:val="single" w:sz="4" w:space="0" w:color="auto"/>
              <w:right w:val="single" w:sz="4" w:space="0" w:color="auto"/>
            </w:tcBorders>
            <w:shd w:val="clear" w:color="000000" w:fill="D9D9D9"/>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Částka           v mil. Kč</w:t>
            </w:r>
          </w:p>
        </w:tc>
        <w:tc>
          <w:tcPr>
            <w:tcW w:w="720" w:type="dxa"/>
            <w:vMerge w:val="restart"/>
            <w:tcBorders>
              <w:top w:val="nil"/>
              <w:left w:val="single" w:sz="4" w:space="0" w:color="auto"/>
              <w:bottom w:val="single" w:sz="4" w:space="0" w:color="auto"/>
              <w:right w:val="single" w:sz="8" w:space="0" w:color="auto"/>
            </w:tcBorders>
            <w:shd w:val="clear" w:color="000000" w:fill="D9D9D9"/>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Počet subjektů</w:t>
            </w:r>
          </w:p>
        </w:tc>
        <w:tc>
          <w:tcPr>
            <w:tcW w:w="1320" w:type="dxa"/>
            <w:gridSpan w:val="2"/>
            <w:tcBorders>
              <w:top w:val="nil"/>
              <w:left w:val="nil"/>
              <w:bottom w:val="single" w:sz="4" w:space="0" w:color="auto"/>
              <w:right w:val="single" w:sz="8" w:space="0" w:color="000000"/>
            </w:tcBorders>
            <w:shd w:val="clear" w:color="000000" w:fill="D9D9D9"/>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Průměr                                        na 1 subjekt</w:t>
            </w:r>
          </w:p>
        </w:tc>
        <w:tc>
          <w:tcPr>
            <w:tcW w:w="780" w:type="dxa"/>
            <w:vMerge w:val="restart"/>
            <w:tcBorders>
              <w:top w:val="nil"/>
              <w:left w:val="single" w:sz="8" w:space="0" w:color="auto"/>
              <w:bottom w:val="single" w:sz="4" w:space="0" w:color="auto"/>
              <w:right w:val="single" w:sz="4" w:space="0" w:color="auto"/>
            </w:tcBorders>
            <w:shd w:val="clear" w:color="000000" w:fill="D9D9D9"/>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Částka             v mil. Kč</w:t>
            </w:r>
          </w:p>
        </w:tc>
        <w:tc>
          <w:tcPr>
            <w:tcW w:w="720" w:type="dxa"/>
            <w:vMerge w:val="restart"/>
            <w:tcBorders>
              <w:top w:val="nil"/>
              <w:left w:val="nil"/>
              <w:bottom w:val="single" w:sz="4" w:space="0" w:color="auto"/>
              <w:right w:val="single" w:sz="4" w:space="0" w:color="auto"/>
            </w:tcBorders>
            <w:shd w:val="clear" w:color="000000" w:fill="D9D9D9"/>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Z toho KOBRA v mil. Kč</w:t>
            </w:r>
          </w:p>
        </w:tc>
        <w:tc>
          <w:tcPr>
            <w:tcW w:w="800" w:type="dxa"/>
            <w:vMerge w:val="restart"/>
            <w:tcBorders>
              <w:top w:val="nil"/>
              <w:left w:val="single" w:sz="4" w:space="0" w:color="auto"/>
              <w:bottom w:val="single" w:sz="4" w:space="0" w:color="auto"/>
              <w:right w:val="single" w:sz="4" w:space="0" w:color="auto"/>
            </w:tcBorders>
            <w:shd w:val="clear" w:color="000000" w:fill="D9D9D9"/>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Z toho KOBRA     v % na celkové částce</w:t>
            </w:r>
          </w:p>
        </w:tc>
        <w:tc>
          <w:tcPr>
            <w:tcW w:w="800" w:type="dxa"/>
            <w:vMerge w:val="restart"/>
            <w:tcBorders>
              <w:top w:val="nil"/>
              <w:left w:val="single" w:sz="4" w:space="0" w:color="auto"/>
              <w:bottom w:val="single" w:sz="4" w:space="0" w:color="auto"/>
              <w:right w:val="single" w:sz="8" w:space="0" w:color="auto"/>
            </w:tcBorders>
            <w:shd w:val="clear" w:color="000000" w:fill="D9D9D9"/>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Z toho Centrální KOBRA      v mil Kč</w:t>
            </w:r>
          </w:p>
        </w:tc>
        <w:tc>
          <w:tcPr>
            <w:tcW w:w="760" w:type="dxa"/>
            <w:vMerge/>
            <w:tcBorders>
              <w:top w:val="nil"/>
              <w:left w:val="single" w:sz="8" w:space="0" w:color="auto"/>
              <w:bottom w:val="single" w:sz="4" w:space="0" w:color="auto"/>
              <w:right w:val="single" w:sz="8" w:space="0" w:color="auto"/>
            </w:tcBorders>
            <w:vAlign w:val="center"/>
          </w:tcPr>
          <w:p w:rsidR="00646A63" w:rsidRPr="00653EE4" w:rsidRDefault="00646A63" w:rsidP="0007169B">
            <w:pPr>
              <w:rPr>
                <w:rFonts w:ascii="Arial" w:hAnsi="Arial" w:cs="Arial"/>
                <w:b/>
                <w:bCs/>
                <w:color w:val="000000"/>
                <w:sz w:val="14"/>
                <w:szCs w:val="14"/>
              </w:rPr>
            </w:pPr>
          </w:p>
        </w:tc>
        <w:tc>
          <w:tcPr>
            <w:tcW w:w="920" w:type="dxa"/>
            <w:vMerge/>
            <w:tcBorders>
              <w:top w:val="nil"/>
              <w:left w:val="nil"/>
              <w:bottom w:val="single" w:sz="4" w:space="0" w:color="auto"/>
              <w:right w:val="single" w:sz="8" w:space="0" w:color="auto"/>
            </w:tcBorders>
            <w:vAlign w:val="center"/>
          </w:tcPr>
          <w:p w:rsidR="00646A63" w:rsidRPr="00653EE4" w:rsidRDefault="00646A63" w:rsidP="0007169B">
            <w:pPr>
              <w:rPr>
                <w:rFonts w:ascii="Arial" w:hAnsi="Arial" w:cs="Arial"/>
                <w:b/>
                <w:bCs/>
                <w:color w:val="000000"/>
                <w:sz w:val="14"/>
                <w:szCs w:val="14"/>
              </w:rPr>
            </w:pPr>
          </w:p>
        </w:tc>
      </w:tr>
      <w:tr w:rsidR="00646A63" w:rsidRPr="00653EE4" w:rsidTr="0007169B">
        <w:trPr>
          <w:trHeight w:val="645"/>
        </w:trPr>
        <w:tc>
          <w:tcPr>
            <w:tcW w:w="700" w:type="dxa"/>
            <w:vMerge/>
            <w:tcBorders>
              <w:top w:val="nil"/>
              <w:left w:val="single" w:sz="8" w:space="0" w:color="auto"/>
              <w:bottom w:val="single" w:sz="4" w:space="0" w:color="auto"/>
              <w:right w:val="single" w:sz="8" w:space="0" w:color="auto"/>
            </w:tcBorders>
            <w:vAlign w:val="center"/>
          </w:tcPr>
          <w:p w:rsidR="00646A63" w:rsidRPr="00653EE4" w:rsidRDefault="00646A63" w:rsidP="0007169B">
            <w:pPr>
              <w:rPr>
                <w:rFonts w:ascii="Arial" w:hAnsi="Arial" w:cs="Arial"/>
                <w:b/>
                <w:bCs/>
                <w:color w:val="000000"/>
                <w:sz w:val="14"/>
                <w:szCs w:val="14"/>
              </w:rPr>
            </w:pPr>
          </w:p>
        </w:tc>
        <w:tc>
          <w:tcPr>
            <w:tcW w:w="840" w:type="dxa"/>
            <w:vMerge/>
            <w:tcBorders>
              <w:top w:val="nil"/>
              <w:left w:val="nil"/>
              <w:bottom w:val="single" w:sz="4" w:space="0" w:color="auto"/>
              <w:right w:val="single" w:sz="4" w:space="0" w:color="auto"/>
            </w:tcBorders>
            <w:vAlign w:val="center"/>
          </w:tcPr>
          <w:p w:rsidR="00646A63" w:rsidRPr="00653EE4" w:rsidRDefault="00646A63" w:rsidP="0007169B">
            <w:pPr>
              <w:rPr>
                <w:rFonts w:ascii="Arial" w:hAnsi="Arial" w:cs="Arial"/>
                <w:b/>
                <w:bCs/>
                <w:color w:val="000000"/>
                <w:sz w:val="14"/>
                <w:szCs w:val="14"/>
              </w:rPr>
            </w:pPr>
          </w:p>
        </w:tc>
        <w:tc>
          <w:tcPr>
            <w:tcW w:w="720" w:type="dxa"/>
            <w:vMerge/>
            <w:tcBorders>
              <w:top w:val="nil"/>
              <w:left w:val="single" w:sz="4" w:space="0" w:color="auto"/>
              <w:bottom w:val="single" w:sz="4" w:space="0" w:color="auto"/>
              <w:right w:val="single" w:sz="4" w:space="0" w:color="auto"/>
            </w:tcBorders>
            <w:vAlign w:val="center"/>
          </w:tcPr>
          <w:p w:rsidR="00646A63" w:rsidRPr="00653EE4" w:rsidRDefault="00646A63" w:rsidP="0007169B">
            <w:pPr>
              <w:rPr>
                <w:rFonts w:ascii="Arial" w:hAnsi="Arial" w:cs="Arial"/>
                <w:b/>
                <w:bCs/>
                <w:color w:val="000000"/>
                <w:sz w:val="14"/>
                <w:szCs w:val="14"/>
              </w:rPr>
            </w:pPr>
          </w:p>
        </w:tc>
        <w:tc>
          <w:tcPr>
            <w:tcW w:w="720" w:type="dxa"/>
            <w:vMerge/>
            <w:tcBorders>
              <w:top w:val="nil"/>
              <w:left w:val="single" w:sz="4" w:space="0" w:color="auto"/>
              <w:bottom w:val="single" w:sz="4" w:space="0" w:color="auto"/>
              <w:right w:val="single" w:sz="8" w:space="0" w:color="auto"/>
            </w:tcBorders>
            <w:vAlign w:val="center"/>
          </w:tcPr>
          <w:p w:rsidR="00646A63" w:rsidRPr="00653EE4" w:rsidRDefault="00646A63" w:rsidP="0007169B">
            <w:pPr>
              <w:rPr>
                <w:rFonts w:ascii="Arial" w:hAnsi="Arial" w:cs="Arial"/>
                <w:b/>
                <w:bCs/>
                <w:color w:val="000000"/>
                <w:sz w:val="14"/>
                <w:szCs w:val="14"/>
              </w:rPr>
            </w:pPr>
          </w:p>
        </w:tc>
        <w:tc>
          <w:tcPr>
            <w:tcW w:w="660" w:type="dxa"/>
            <w:tcBorders>
              <w:top w:val="nil"/>
              <w:left w:val="nil"/>
              <w:bottom w:val="single" w:sz="4" w:space="0" w:color="auto"/>
              <w:right w:val="single" w:sz="4" w:space="0" w:color="auto"/>
            </w:tcBorders>
            <w:shd w:val="clear" w:color="000000" w:fill="D9D9D9"/>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Počet ZajP</w:t>
            </w:r>
          </w:p>
        </w:tc>
        <w:tc>
          <w:tcPr>
            <w:tcW w:w="660" w:type="dxa"/>
            <w:tcBorders>
              <w:top w:val="nil"/>
              <w:left w:val="nil"/>
              <w:bottom w:val="single" w:sz="4" w:space="0" w:color="auto"/>
              <w:right w:val="single" w:sz="8" w:space="0" w:color="auto"/>
            </w:tcBorders>
            <w:shd w:val="clear" w:color="000000" w:fill="D9D9D9"/>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Částka      v mil. Kč</w:t>
            </w:r>
          </w:p>
        </w:tc>
        <w:tc>
          <w:tcPr>
            <w:tcW w:w="780" w:type="dxa"/>
            <w:vMerge/>
            <w:tcBorders>
              <w:top w:val="nil"/>
              <w:left w:val="single" w:sz="8" w:space="0" w:color="auto"/>
              <w:bottom w:val="single" w:sz="4" w:space="0" w:color="auto"/>
              <w:right w:val="single" w:sz="4" w:space="0" w:color="auto"/>
            </w:tcBorders>
            <w:vAlign w:val="center"/>
          </w:tcPr>
          <w:p w:rsidR="00646A63" w:rsidRPr="00653EE4" w:rsidRDefault="00646A63" w:rsidP="0007169B">
            <w:pPr>
              <w:rPr>
                <w:rFonts w:ascii="Arial" w:hAnsi="Arial" w:cs="Arial"/>
                <w:b/>
                <w:bCs/>
                <w:color w:val="000000"/>
                <w:sz w:val="14"/>
                <w:szCs w:val="14"/>
              </w:rPr>
            </w:pPr>
          </w:p>
        </w:tc>
        <w:tc>
          <w:tcPr>
            <w:tcW w:w="720" w:type="dxa"/>
            <w:vMerge/>
            <w:tcBorders>
              <w:top w:val="nil"/>
              <w:left w:val="nil"/>
              <w:bottom w:val="single" w:sz="4" w:space="0" w:color="auto"/>
              <w:right w:val="single" w:sz="4" w:space="0" w:color="auto"/>
            </w:tcBorders>
            <w:vAlign w:val="center"/>
          </w:tcPr>
          <w:p w:rsidR="00646A63" w:rsidRPr="00653EE4" w:rsidRDefault="00646A63" w:rsidP="0007169B">
            <w:pPr>
              <w:rPr>
                <w:rFonts w:ascii="Arial" w:hAnsi="Arial" w:cs="Arial"/>
                <w:b/>
                <w:bCs/>
                <w:color w:val="000000"/>
                <w:sz w:val="14"/>
                <w:szCs w:val="14"/>
              </w:rPr>
            </w:pPr>
          </w:p>
        </w:tc>
        <w:tc>
          <w:tcPr>
            <w:tcW w:w="800" w:type="dxa"/>
            <w:vMerge/>
            <w:tcBorders>
              <w:top w:val="nil"/>
              <w:left w:val="single" w:sz="4" w:space="0" w:color="auto"/>
              <w:bottom w:val="single" w:sz="4" w:space="0" w:color="auto"/>
              <w:right w:val="single" w:sz="4" w:space="0" w:color="auto"/>
            </w:tcBorders>
            <w:vAlign w:val="center"/>
          </w:tcPr>
          <w:p w:rsidR="00646A63" w:rsidRPr="00653EE4" w:rsidRDefault="00646A63" w:rsidP="0007169B">
            <w:pPr>
              <w:rPr>
                <w:rFonts w:ascii="Arial" w:hAnsi="Arial" w:cs="Arial"/>
                <w:b/>
                <w:bCs/>
                <w:color w:val="000000"/>
                <w:sz w:val="14"/>
                <w:szCs w:val="14"/>
              </w:rPr>
            </w:pPr>
          </w:p>
        </w:tc>
        <w:tc>
          <w:tcPr>
            <w:tcW w:w="800" w:type="dxa"/>
            <w:vMerge/>
            <w:tcBorders>
              <w:top w:val="nil"/>
              <w:left w:val="single" w:sz="4" w:space="0" w:color="auto"/>
              <w:bottom w:val="single" w:sz="4" w:space="0" w:color="auto"/>
              <w:right w:val="single" w:sz="8" w:space="0" w:color="auto"/>
            </w:tcBorders>
            <w:vAlign w:val="center"/>
          </w:tcPr>
          <w:p w:rsidR="00646A63" w:rsidRPr="00653EE4" w:rsidRDefault="00646A63" w:rsidP="0007169B">
            <w:pPr>
              <w:rPr>
                <w:rFonts w:ascii="Arial" w:hAnsi="Arial" w:cs="Arial"/>
                <w:b/>
                <w:bCs/>
                <w:color w:val="000000"/>
                <w:sz w:val="14"/>
                <w:szCs w:val="14"/>
              </w:rPr>
            </w:pPr>
          </w:p>
        </w:tc>
        <w:tc>
          <w:tcPr>
            <w:tcW w:w="760" w:type="dxa"/>
            <w:vMerge/>
            <w:tcBorders>
              <w:top w:val="nil"/>
              <w:left w:val="single" w:sz="8" w:space="0" w:color="auto"/>
              <w:bottom w:val="single" w:sz="4" w:space="0" w:color="auto"/>
              <w:right w:val="single" w:sz="8" w:space="0" w:color="auto"/>
            </w:tcBorders>
            <w:vAlign w:val="center"/>
          </w:tcPr>
          <w:p w:rsidR="00646A63" w:rsidRPr="00653EE4" w:rsidRDefault="00646A63" w:rsidP="0007169B">
            <w:pPr>
              <w:rPr>
                <w:rFonts w:ascii="Arial" w:hAnsi="Arial" w:cs="Arial"/>
                <w:b/>
                <w:bCs/>
                <w:color w:val="000000"/>
                <w:sz w:val="14"/>
                <w:szCs w:val="14"/>
              </w:rPr>
            </w:pPr>
          </w:p>
        </w:tc>
        <w:tc>
          <w:tcPr>
            <w:tcW w:w="920" w:type="dxa"/>
            <w:vMerge/>
            <w:tcBorders>
              <w:top w:val="nil"/>
              <w:left w:val="nil"/>
              <w:bottom w:val="single" w:sz="4" w:space="0" w:color="auto"/>
              <w:right w:val="single" w:sz="8" w:space="0" w:color="auto"/>
            </w:tcBorders>
            <w:vAlign w:val="center"/>
          </w:tcPr>
          <w:p w:rsidR="00646A63" w:rsidRPr="00653EE4" w:rsidRDefault="00646A63" w:rsidP="0007169B">
            <w:pPr>
              <w:rPr>
                <w:rFonts w:ascii="Arial" w:hAnsi="Arial" w:cs="Arial"/>
                <w:b/>
                <w:bCs/>
                <w:color w:val="000000"/>
                <w:sz w:val="14"/>
                <w:szCs w:val="14"/>
              </w:rPr>
            </w:pPr>
          </w:p>
        </w:tc>
      </w:tr>
      <w:tr w:rsidR="00646A63" w:rsidRPr="00653EE4" w:rsidTr="0007169B">
        <w:trPr>
          <w:trHeight w:val="600"/>
        </w:trPr>
        <w:tc>
          <w:tcPr>
            <w:tcW w:w="700" w:type="dxa"/>
            <w:tcBorders>
              <w:top w:val="nil"/>
              <w:left w:val="single" w:sz="8" w:space="0" w:color="auto"/>
              <w:bottom w:val="single" w:sz="4" w:space="0" w:color="auto"/>
              <w:right w:val="single" w:sz="8" w:space="0" w:color="auto"/>
            </w:tcBorders>
            <w:shd w:val="clear" w:color="000000" w:fill="D9D9D9"/>
            <w:noWrap/>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2013</w:t>
            </w:r>
          </w:p>
        </w:tc>
        <w:tc>
          <w:tcPr>
            <w:tcW w:w="84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457</w:t>
            </w:r>
          </w:p>
        </w:tc>
        <w:tc>
          <w:tcPr>
            <w:tcW w:w="72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6 173</w:t>
            </w:r>
          </w:p>
        </w:tc>
        <w:tc>
          <w:tcPr>
            <w:tcW w:w="720" w:type="dxa"/>
            <w:tcBorders>
              <w:top w:val="nil"/>
              <w:left w:val="nil"/>
              <w:bottom w:val="single" w:sz="4" w:space="0" w:color="auto"/>
              <w:right w:val="single" w:sz="8"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280</w:t>
            </w:r>
          </w:p>
        </w:tc>
        <w:tc>
          <w:tcPr>
            <w:tcW w:w="66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b/>
                <w:bCs/>
                <w:color w:val="000000"/>
                <w:sz w:val="14"/>
                <w:szCs w:val="14"/>
              </w:rPr>
            </w:pPr>
            <w:r w:rsidRPr="00653EE4">
              <w:rPr>
                <w:rFonts w:ascii="Arial" w:hAnsi="Arial" w:cs="Arial"/>
                <w:b/>
                <w:bCs/>
                <w:color w:val="000000"/>
                <w:sz w:val="14"/>
                <w:szCs w:val="14"/>
              </w:rPr>
              <w:t>1,63</w:t>
            </w:r>
          </w:p>
        </w:tc>
        <w:tc>
          <w:tcPr>
            <w:tcW w:w="660" w:type="dxa"/>
            <w:tcBorders>
              <w:top w:val="nil"/>
              <w:left w:val="nil"/>
              <w:bottom w:val="single" w:sz="4" w:space="0" w:color="auto"/>
              <w:right w:val="single" w:sz="8" w:space="0" w:color="auto"/>
            </w:tcBorders>
            <w:noWrap/>
            <w:vAlign w:val="center"/>
          </w:tcPr>
          <w:p w:rsidR="00646A63" w:rsidRPr="00653EE4" w:rsidRDefault="00646A63" w:rsidP="0007169B">
            <w:pPr>
              <w:jc w:val="right"/>
              <w:rPr>
                <w:rFonts w:ascii="Arial" w:hAnsi="Arial" w:cs="Arial"/>
                <w:b/>
                <w:bCs/>
                <w:color w:val="000000"/>
                <w:sz w:val="14"/>
                <w:szCs w:val="14"/>
              </w:rPr>
            </w:pPr>
            <w:r w:rsidRPr="00653EE4">
              <w:rPr>
                <w:rFonts w:ascii="Arial" w:hAnsi="Arial" w:cs="Arial"/>
                <w:b/>
                <w:bCs/>
                <w:color w:val="000000"/>
                <w:sz w:val="14"/>
                <w:szCs w:val="14"/>
              </w:rPr>
              <w:t>22,0</w:t>
            </w:r>
          </w:p>
        </w:tc>
        <w:tc>
          <w:tcPr>
            <w:tcW w:w="780" w:type="dxa"/>
            <w:tcBorders>
              <w:top w:val="nil"/>
              <w:left w:val="nil"/>
              <w:bottom w:val="single" w:sz="4" w:space="0" w:color="auto"/>
              <w:right w:val="single" w:sz="4" w:space="0" w:color="auto"/>
            </w:tcBorders>
            <w:vAlign w:val="center"/>
          </w:tcPr>
          <w:p w:rsidR="00646A63" w:rsidRPr="00653EE4" w:rsidRDefault="00646A63" w:rsidP="0007169B">
            <w:pPr>
              <w:jc w:val="center"/>
              <w:rPr>
                <w:rFonts w:ascii="Arial" w:hAnsi="Arial" w:cs="Arial"/>
                <w:color w:val="000000"/>
                <w:sz w:val="14"/>
                <w:szCs w:val="14"/>
              </w:rPr>
            </w:pPr>
            <w:r w:rsidRPr="00653EE4">
              <w:rPr>
                <w:rFonts w:ascii="Arial" w:hAnsi="Arial" w:cs="Arial"/>
                <w:color w:val="000000"/>
                <w:sz w:val="14"/>
                <w:szCs w:val="14"/>
              </w:rPr>
              <w:t>Nebylo statisticky sledováno</w:t>
            </w:r>
          </w:p>
        </w:tc>
        <w:tc>
          <w:tcPr>
            <w:tcW w:w="2320" w:type="dxa"/>
            <w:gridSpan w:val="3"/>
            <w:tcBorders>
              <w:top w:val="single" w:sz="4" w:space="0" w:color="auto"/>
              <w:left w:val="nil"/>
              <w:bottom w:val="single" w:sz="4" w:space="0" w:color="auto"/>
              <w:right w:val="single" w:sz="8" w:space="0" w:color="000000"/>
            </w:tcBorders>
            <w:vAlign w:val="center"/>
          </w:tcPr>
          <w:p w:rsidR="00646A63" w:rsidRPr="00653EE4" w:rsidRDefault="00646A63" w:rsidP="0007169B">
            <w:pPr>
              <w:jc w:val="center"/>
              <w:rPr>
                <w:rFonts w:ascii="Arial" w:hAnsi="Arial" w:cs="Arial"/>
                <w:color w:val="000000"/>
                <w:sz w:val="14"/>
                <w:szCs w:val="14"/>
              </w:rPr>
            </w:pPr>
            <w:r w:rsidRPr="00653EE4">
              <w:rPr>
                <w:rFonts w:ascii="Arial" w:hAnsi="Arial" w:cs="Arial"/>
                <w:color w:val="000000"/>
                <w:sz w:val="14"/>
                <w:szCs w:val="14"/>
              </w:rPr>
              <w:t>KOBRA neexistovala</w:t>
            </w:r>
          </w:p>
        </w:tc>
        <w:tc>
          <w:tcPr>
            <w:tcW w:w="760" w:type="dxa"/>
            <w:tcBorders>
              <w:top w:val="nil"/>
              <w:left w:val="nil"/>
              <w:bottom w:val="single" w:sz="4" w:space="0" w:color="auto"/>
              <w:right w:val="single" w:sz="8" w:space="0" w:color="auto"/>
            </w:tcBorders>
            <w:noWrap/>
            <w:vAlign w:val="center"/>
          </w:tcPr>
          <w:p w:rsidR="00646A63" w:rsidRPr="00653EE4" w:rsidRDefault="00646A63" w:rsidP="0007169B">
            <w:pPr>
              <w:jc w:val="center"/>
              <w:rPr>
                <w:rFonts w:ascii="Arial" w:hAnsi="Arial" w:cs="Arial"/>
                <w:color w:val="000000"/>
                <w:sz w:val="14"/>
                <w:szCs w:val="14"/>
              </w:rPr>
            </w:pPr>
            <w:r w:rsidRPr="00653EE4">
              <w:rPr>
                <w:rFonts w:ascii="Arial" w:hAnsi="Arial" w:cs="Arial"/>
                <w:color w:val="000000"/>
                <w:sz w:val="14"/>
                <w:szCs w:val="14"/>
              </w:rPr>
              <w:t>508 046</w:t>
            </w:r>
          </w:p>
        </w:tc>
        <w:tc>
          <w:tcPr>
            <w:tcW w:w="920" w:type="dxa"/>
            <w:tcBorders>
              <w:top w:val="nil"/>
              <w:left w:val="nil"/>
              <w:bottom w:val="single" w:sz="4" w:space="0" w:color="auto"/>
              <w:right w:val="single" w:sz="8" w:space="0" w:color="auto"/>
            </w:tcBorders>
            <w:vAlign w:val="center"/>
          </w:tcPr>
          <w:p w:rsidR="00646A63" w:rsidRPr="00653EE4" w:rsidRDefault="00646A63" w:rsidP="0007169B">
            <w:pPr>
              <w:jc w:val="center"/>
              <w:rPr>
                <w:rFonts w:ascii="Arial" w:hAnsi="Arial" w:cs="Arial"/>
                <w:color w:val="000000"/>
                <w:sz w:val="14"/>
                <w:szCs w:val="14"/>
              </w:rPr>
            </w:pPr>
            <w:r w:rsidRPr="00653EE4">
              <w:rPr>
                <w:rFonts w:ascii="Arial" w:hAnsi="Arial" w:cs="Arial"/>
                <w:color w:val="000000"/>
                <w:sz w:val="14"/>
                <w:szCs w:val="14"/>
              </w:rPr>
              <w:t>Nebylo statisticky sledováno</w:t>
            </w:r>
          </w:p>
        </w:tc>
      </w:tr>
      <w:tr w:rsidR="00646A63" w:rsidRPr="00653EE4" w:rsidTr="0007169B">
        <w:trPr>
          <w:trHeight w:val="255"/>
        </w:trPr>
        <w:tc>
          <w:tcPr>
            <w:tcW w:w="700" w:type="dxa"/>
            <w:tcBorders>
              <w:top w:val="nil"/>
              <w:left w:val="single" w:sz="8" w:space="0" w:color="auto"/>
              <w:bottom w:val="single" w:sz="4" w:space="0" w:color="auto"/>
              <w:right w:val="single" w:sz="8" w:space="0" w:color="auto"/>
            </w:tcBorders>
            <w:shd w:val="clear" w:color="000000" w:fill="D9D9D9"/>
            <w:noWrap/>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2014</w:t>
            </w:r>
          </w:p>
        </w:tc>
        <w:tc>
          <w:tcPr>
            <w:tcW w:w="84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1 032*</w:t>
            </w:r>
          </w:p>
        </w:tc>
        <w:tc>
          <w:tcPr>
            <w:tcW w:w="72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4 172*</w:t>
            </w:r>
          </w:p>
        </w:tc>
        <w:tc>
          <w:tcPr>
            <w:tcW w:w="720" w:type="dxa"/>
            <w:tcBorders>
              <w:top w:val="nil"/>
              <w:left w:val="nil"/>
              <w:bottom w:val="single" w:sz="4" w:space="0" w:color="auto"/>
              <w:right w:val="single" w:sz="8"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328</w:t>
            </w:r>
          </w:p>
        </w:tc>
        <w:tc>
          <w:tcPr>
            <w:tcW w:w="66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b/>
                <w:bCs/>
                <w:color w:val="000000"/>
                <w:sz w:val="14"/>
                <w:szCs w:val="14"/>
              </w:rPr>
            </w:pPr>
            <w:r w:rsidRPr="00653EE4">
              <w:rPr>
                <w:rFonts w:ascii="Arial" w:hAnsi="Arial" w:cs="Arial"/>
                <w:b/>
                <w:bCs/>
                <w:color w:val="000000"/>
                <w:sz w:val="14"/>
                <w:szCs w:val="14"/>
              </w:rPr>
              <w:t>3,15</w:t>
            </w:r>
          </w:p>
        </w:tc>
        <w:tc>
          <w:tcPr>
            <w:tcW w:w="660" w:type="dxa"/>
            <w:tcBorders>
              <w:top w:val="nil"/>
              <w:left w:val="nil"/>
              <w:bottom w:val="single" w:sz="4" w:space="0" w:color="auto"/>
              <w:right w:val="single" w:sz="8" w:space="0" w:color="auto"/>
            </w:tcBorders>
            <w:noWrap/>
            <w:vAlign w:val="center"/>
          </w:tcPr>
          <w:p w:rsidR="00646A63" w:rsidRPr="00653EE4" w:rsidRDefault="00646A63" w:rsidP="0007169B">
            <w:pPr>
              <w:jc w:val="right"/>
              <w:rPr>
                <w:rFonts w:ascii="Arial" w:hAnsi="Arial" w:cs="Arial"/>
                <w:b/>
                <w:bCs/>
                <w:color w:val="000000"/>
                <w:sz w:val="14"/>
                <w:szCs w:val="14"/>
              </w:rPr>
            </w:pPr>
            <w:r w:rsidRPr="00653EE4">
              <w:rPr>
                <w:rFonts w:ascii="Arial" w:hAnsi="Arial" w:cs="Arial"/>
                <w:b/>
                <w:bCs/>
                <w:color w:val="000000"/>
                <w:sz w:val="14"/>
                <w:szCs w:val="14"/>
              </w:rPr>
              <w:t>12,7</w:t>
            </w:r>
          </w:p>
        </w:tc>
        <w:tc>
          <w:tcPr>
            <w:tcW w:w="78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256</w:t>
            </w:r>
          </w:p>
        </w:tc>
        <w:tc>
          <w:tcPr>
            <w:tcW w:w="72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0</w:t>
            </w:r>
          </w:p>
        </w:tc>
        <w:tc>
          <w:tcPr>
            <w:tcW w:w="80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0%</w:t>
            </w:r>
          </w:p>
        </w:tc>
        <w:tc>
          <w:tcPr>
            <w:tcW w:w="800" w:type="dxa"/>
            <w:tcBorders>
              <w:top w:val="nil"/>
              <w:left w:val="nil"/>
              <w:bottom w:val="single" w:sz="4" w:space="0" w:color="auto"/>
              <w:right w:val="single" w:sz="8"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0,0</w:t>
            </w:r>
          </w:p>
        </w:tc>
        <w:tc>
          <w:tcPr>
            <w:tcW w:w="760" w:type="dxa"/>
            <w:tcBorders>
              <w:top w:val="nil"/>
              <w:left w:val="nil"/>
              <w:bottom w:val="single" w:sz="4" w:space="0" w:color="auto"/>
              <w:right w:val="single" w:sz="8"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512 034</w:t>
            </w:r>
          </w:p>
        </w:tc>
        <w:tc>
          <w:tcPr>
            <w:tcW w:w="920" w:type="dxa"/>
            <w:tcBorders>
              <w:top w:val="nil"/>
              <w:left w:val="nil"/>
              <w:bottom w:val="single" w:sz="4" w:space="0" w:color="auto"/>
              <w:right w:val="single" w:sz="8" w:space="0" w:color="auto"/>
            </w:tcBorders>
            <w:noWrap/>
            <w:vAlign w:val="center"/>
          </w:tcPr>
          <w:p w:rsidR="00646A63" w:rsidRPr="00653EE4" w:rsidRDefault="00646A63" w:rsidP="0007169B">
            <w:pPr>
              <w:jc w:val="right"/>
              <w:rPr>
                <w:rFonts w:ascii="Arial" w:hAnsi="Arial" w:cs="Arial"/>
                <w:color w:val="000000"/>
                <w:sz w:val="14"/>
                <w:szCs w:val="14"/>
              </w:rPr>
            </w:pPr>
            <w:r>
              <w:rPr>
                <w:rFonts w:ascii="Arial" w:hAnsi="Arial" w:cs="Arial"/>
                <w:color w:val="000000"/>
                <w:sz w:val="14"/>
                <w:szCs w:val="14"/>
              </w:rPr>
              <w:t>6,1%</w:t>
            </w:r>
          </w:p>
        </w:tc>
      </w:tr>
      <w:tr w:rsidR="00646A63" w:rsidRPr="00653EE4" w:rsidTr="0007169B">
        <w:trPr>
          <w:trHeight w:val="255"/>
        </w:trPr>
        <w:tc>
          <w:tcPr>
            <w:tcW w:w="700" w:type="dxa"/>
            <w:tcBorders>
              <w:top w:val="nil"/>
              <w:left w:val="single" w:sz="8" w:space="0" w:color="auto"/>
              <w:bottom w:val="single" w:sz="4" w:space="0" w:color="auto"/>
              <w:right w:val="single" w:sz="8" w:space="0" w:color="auto"/>
            </w:tcBorders>
            <w:shd w:val="clear" w:color="000000" w:fill="D9D9D9"/>
            <w:noWrap/>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2015</w:t>
            </w:r>
          </w:p>
        </w:tc>
        <w:tc>
          <w:tcPr>
            <w:tcW w:w="84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1 605</w:t>
            </w:r>
          </w:p>
        </w:tc>
        <w:tc>
          <w:tcPr>
            <w:tcW w:w="72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3 633</w:t>
            </w:r>
          </w:p>
        </w:tc>
        <w:tc>
          <w:tcPr>
            <w:tcW w:w="720" w:type="dxa"/>
            <w:tcBorders>
              <w:top w:val="nil"/>
              <w:left w:val="nil"/>
              <w:bottom w:val="single" w:sz="4" w:space="0" w:color="auto"/>
              <w:right w:val="single" w:sz="8"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424</w:t>
            </w:r>
          </w:p>
        </w:tc>
        <w:tc>
          <w:tcPr>
            <w:tcW w:w="66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b/>
                <w:bCs/>
                <w:color w:val="000000"/>
                <w:sz w:val="14"/>
                <w:szCs w:val="14"/>
              </w:rPr>
            </w:pPr>
            <w:r w:rsidRPr="00653EE4">
              <w:rPr>
                <w:rFonts w:ascii="Arial" w:hAnsi="Arial" w:cs="Arial"/>
                <w:b/>
                <w:bCs/>
                <w:color w:val="000000"/>
                <w:sz w:val="14"/>
                <w:szCs w:val="14"/>
              </w:rPr>
              <w:t>3,79</w:t>
            </w:r>
          </w:p>
        </w:tc>
        <w:tc>
          <w:tcPr>
            <w:tcW w:w="660" w:type="dxa"/>
            <w:tcBorders>
              <w:top w:val="nil"/>
              <w:left w:val="nil"/>
              <w:bottom w:val="single" w:sz="4" w:space="0" w:color="auto"/>
              <w:right w:val="single" w:sz="8" w:space="0" w:color="auto"/>
            </w:tcBorders>
            <w:noWrap/>
            <w:vAlign w:val="center"/>
          </w:tcPr>
          <w:p w:rsidR="00646A63" w:rsidRPr="00653EE4" w:rsidRDefault="00646A63" w:rsidP="0007169B">
            <w:pPr>
              <w:jc w:val="right"/>
              <w:rPr>
                <w:rFonts w:ascii="Arial" w:hAnsi="Arial" w:cs="Arial"/>
                <w:b/>
                <w:bCs/>
                <w:color w:val="000000"/>
                <w:sz w:val="14"/>
                <w:szCs w:val="14"/>
              </w:rPr>
            </w:pPr>
            <w:r w:rsidRPr="00653EE4">
              <w:rPr>
                <w:rFonts w:ascii="Arial" w:hAnsi="Arial" w:cs="Arial"/>
                <w:b/>
                <w:bCs/>
                <w:color w:val="000000"/>
                <w:sz w:val="14"/>
                <w:szCs w:val="14"/>
              </w:rPr>
              <w:t>8,6</w:t>
            </w:r>
          </w:p>
        </w:tc>
        <w:tc>
          <w:tcPr>
            <w:tcW w:w="78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822</w:t>
            </w:r>
          </w:p>
        </w:tc>
        <w:tc>
          <w:tcPr>
            <w:tcW w:w="72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453,7</w:t>
            </w:r>
          </w:p>
        </w:tc>
        <w:tc>
          <w:tcPr>
            <w:tcW w:w="80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55%</w:t>
            </w:r>
          </w:p>
        </w:tc>
        <w:tc>
          <w:tcPr>
            <w:tcW w:w="800" w:type="dxa"/>
            <w:tcBorders>
              <w:top w:val="nil"/>
              <w:left w:val="nil"/>
              <w:bottom w:val="single" w:sz="4" w:space="0" w:color="auto"/>
              <w:right w:val="single" w:sz="8"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75,2</w:t>
            </w:r>
          </w:p>
        </w:tc>
        <w:tc>
          <w:tcPr>
            <w:tcW w:w="760" w:type="dxa"/>
            <w:tcBorders>
              <w:top w:val="nil"/>
              <w:left w:val="nil"/>
              <w:bottom w:val="single" w:sz="4" w:space="0" w:color="auto"/>
              <w:right w:val="single" w:sz="8"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506 309</w:t>
            </w:r>
          </w:p>
        </w:tc>
        <w:tc>
          <w:tcPr>
            <w:tcW w:w="920" w:type="dxa"/>
            <w:tcBorders>
              <w:top w:val="nil"/>
              <w:left w:val="nil"/>
              <w:bottom w:val="single" w:sz="4" w:space="0" w:color="auto"/>
              <w:right w:val="single" w:sz="8"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22,6%</w:t>
            </w:r>
          </w:p>
        </w:tc>
      </w:tr>
      <w:tr w:rsidR="00646A63" w:rsidRPr="00653EE4" w:rsidTr="0007169B">
        <w:trPr>
          <w:trHeight w:val="240"/>
        </w:trPr>
        <w:tc>
          <w:tcPr>
            <w:tcW w:w="700" w:type="dxa"/>
            <w:tcBorders>
              <w:top w:val="nil"/>
              <w:left w:val="single" w:sz="8" w:space="0" w:color="auto"/>
              <w:bottom w:val="single" w:sz="4" w:space="0" w:color="auto"/>
              <w:right w:val="single" w:sz="8" w:space="0" w:color="auto"/>
            </w:tcBorders>
            <w:shd w:val="clear" w:color="000000" w:fill="D9D9D9"/>
            <w:noWrap/>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2016</w:t>
            </w:r>
          </w:p>
        </w:tc>
        <w:tc>
          <w:tcPr>
            <w:tcW w:w="84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1 561</w:t>
            </w:r>
          </w:p>
        </w:tc>
        <w:tc>
          <w:tcPr>
            <w:tcW w:w="72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3 329</w:t>
            </w:r>
          </w:p>
        </w:tc>
        <w:tc>
          <w:tcPr>
            <w:tcW w:w="720" w:type="dxa"/>
            <w:tcBorders>
              <w:top w:val="nil"/>
              <w:left w:val="nil"/>
              <w:bottom w:val="single" w:sz="4" w:space="0" w:color="auto"/>
              <w:right w:val="single" w:sz="8"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309</w:t>
            </w:r>
          </w:p>
        </w:tc>
        <w:tc>
          <w:tcPr>
            <w:tcW w:w="66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b/>
                <w:bCs/>
                <w:color w:val="000000"/>
                <w:sz w:val="14"/>
                <w:szCs w:val="14"/>
              </w:rPr>
            </w:pPr>
            <w:r w:rsidRPr="00653EE4">
              <w:rPr>
                <w:rFonts w:ascii="Arial" w:hAnsi="Arial" w:cs="Arial"/>
                <w:b/>
                <w:bCs/>
                <w:color w:val="000000"/>
                <w:sz w:val="14"/>
                <w:szCs w:val="14"/>
              </w:rPr>
              <w:t>5,05</w:t>
            </w:r>
          </w:p>
        </w:tc>
        <w:tc>
          <w:tcPr>
            <w:tcW w:w="660" w:type="dxa"/>
            <w:tcBorders>
              <w:top w:val="nil"/>
              <w:left w:val="nil"/>
              <w:bottom w:val="single" w:sz="4" w:space="0" w:color="auto"/>
              <w:right w:val="single" w:sz="8" w:space="0" w:color="auto"/>
            </w:tcBorders>
            <w:noWrap/>
            <w:vAlign w:val="center"/>
          </w:tcPr>
          <w:p w:rsidR="00646A63" w:rsidRPr="00653EE4" w:rsidRDefault="00646A63" w:rsidP="0007169B">
            <w:pPr>
              <w:jc w:val="right"/>
              <w:rPr>
                <w:rFonts w:ascii="Arial" w:hAnsi="Arial" w:cs="Arial"/>
                <w:b/>
                <w:bCs/>
                <w:color w:val="000000"/>
                <w:sz w:val="14"/>
                <w:szCs w:val="14"/>
              </w:rPr>
            </w:pPr>
            <w:r w:rsidRPr="00653EE4">
              <w:rPr>
                <w:rFonts w:ascii="Arial" w:hAnsi="Arial" w:cs="Arial"/>
                <w:b/>
                <w:bCs/>
                <w:color w:val="000000"/>
                <w:sz w:val="14"/>
                <w:szCs w:val="14"/>
              </w:rPr>
              <w:t>10,8</w:t>
            </w:r>
          </w:p>
        </w:tc>
        <w:tc>
          <w:tcPr>
            <w:tcW w:w="78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1 098</w:t>
            </w:r>
          </w:p>
        </w:tc>
        <w:tc>
          <w:tcPr>
            <w:tcW w:w="72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486,5</w:t>
            </w:r>
          </w:p>
        </w:tc>
        <w:tc>
          <w:tcPr>
            <w:tcW w:w="800" w:type="dxa"/>
            <w:tcBorders>
              <w:top w:val="nil"/>
              <w:left w:val="nil"/>
              <w:bottom w:val="single" w:sz="4"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44%</w:t>
            </w:r>
          </w:p>
        </w:tc>
        <w:tc>
          <w:tcPr>
            <w:tcW w:w="800" w:type="dxa"/>
            <w:tcBorders>
              <w:top w:val="nil"/>
              <w:left w:val="nil"/>
              <w:bottom w:val="single" w:sz="4" w:space="0" w:color="auto"/>
              <w:right w:val="single" w:sz="8"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92,5</w:t>
            </w:r>
          </w:p>
        </w:tc>
        <w:tc>
          <w:tcPr>
            <w:tcW w:w="760" w:type="dxa"/>
            <w:tcBorders>
              <w:top w:val="nil"/>
              <w:left w:val="nil"/>
              <w:bottom w:val="single" w:sz="4" w:space="0" w:color="auto"/>
              <w:right w:val="single" w:sz="8"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503 145</w:t>
            </w:r>
          </w:p>
        </w:tc>
        <w:tc>
          <w:tcPr>
            <w:tcW w:w="920" w:type="dxa"/>
            <w:tcBorders>
              <w:top w:val="nil"/>
              <w:left w:val="nil"/>
              <w:bottom w:val="single" w:sz="4" w:space="0" w:color="auto"/>
              <w:right w:val="single" w:sz="8"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33,0%</w:t>
            </w:r>
          </w:p>
        </w:tc>
      </w:tr>
      <w:tr w:rsidR="00646A63" w:rsidRPr="00653EE4" w:rsidTr="0007169B">
        <w:trPr>
          <w:trHeight w:val="390"/>
        </w:trPr>
        <w:tc>
          <w:tcPr>
            <w:tcW w:w="700" w:type="dxa"/>
            <w:tcBorders>
              <w:top w:val="nil"/>
              <w:left w:val="single" w:sz="8" w:space="0" w:color="auto"/>
              <w:bottom w:val="single" w:sz="8" w:space="0" w:color="auto"/>
              <w:right w:val="single" w:sz="8" w:space="0" w:color="auto"/>
            </w:tcBorders>
            <w:shd w:val="clear" w:color="000000" w:fill="D9D9D9"/>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Do 7/2017</w:t>
            </w:r>
          </w:p>
        </w:tc>
        <w:tc>
          <w:tcPr>
            <w:tcW w:w="840" w:type="dxa"/>
            <w:tcBorders>
              <w:top w:val="nil"/>
              <w:left w:val="nil"/>
              <w:bottom w:val="single" w:sz="8"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960</w:t>
            </w:r>
          </w:p>
        </w:tc>
        <w:tc>
          <w:tcPr>
            <w:tcW w:w="720" w:type="dxa"/>
            <w:tcBorders>
              <w:top w:val="nil"/>
              <w:left w:val="nil"/>
              <w:bottom w:val="single" w:sz="8"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1 168</w:t>
            </w:r>
          </w:p>
        </w:tc>
        <w:tc>
          <w:tcPr>
            <w:tcW w:w="720" w:type="dxa"/>
            <w:tcBorders>
              <w:top w:val="nil"/>
              <w:left w:val="nil"/>
              <w:bottom w:val="single" w:sz="8" w:space="0" w:color="auto"/>
              <w:right w:val="single" w:sz="8"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204</w:t>
            </w:r>
          </w:p>
        </w:tc>
        <w:tc>
          <w:tcPr>
            <w:tcW w:w="660" w:type="dxa"/>
            <w:tcBorders>
              <w:top w:val="nil"/>
              <w:left w:val="nil"/>
              <w:bottom w:val="single" w:sz="8" w:space="0" w:color="auto"/>
              <w:right w:val="single" w:sz="4" w:space="0" w:color="auto"/>
            </w:tcBorders>
            <w:noWrap/>
            <w:vAlign w:val="center"/>
          </w:tcPr>
          <w:p w:rsidR="00646A63" w:rsidRPr="00653EE4" w:rsidRDefault="00646A63" w:rsidP="0007169B">
            <w:pPr>
              <w:jc w:val="right"/>
              <w:rPr>
                <w:rFonts w:ascii="Arial" w:hAnsi="Arial" w:cs="Arial"/>
                <w:b/>
                <w:bCs/>
                <w:color w:val="000000"/>
                <w:sz w:val="14"/>
                <w:szCs w:val="14"/>
              </w:rPr>
            </w:pPr>
            <w:r w:rsidRPr="00653EE4">
              <w:rPr>
                <w:rFonts w:ascii="Arial" w:hAnsi="Arial" w:cs="Arial"/>
                <w:b/>
                <w:bCs/>
                <w:color w:val="000000"/>
                <w:sz w:val="14"/>
                <w:szCs w:val="14"/>
              </w:rPr>
              <w:t>4,71</w:t>
            </w:r>
          </w:p>
        </w:tc>
        <w:tc>
          <w:tcPr>
            <w:tcW w:w="660" w:type="dxa"/>
            <w:tcBorders>
              <w:top w:val="nil"/>
              <w:left w:val="nil"/>
              <w:bottom w:val="single" w:sz="8" w:space="0" w:color="auto"/>
              <w:right w:val="single" w:sz="8" w:space="0" w:color="auto"/>
            </w:tcBorders>
            <w:noWrap/>
            <w:vAlign w:val="center"/>
          </w:tcPr>
          <w:p w:rsidR="00646A63" w:rsidRPr="00653EE4" w:rsidRDefault="00646A63" w:rsidP="0007169B">
            <w:pPr>
              <w:jc w:val="right"/>
              <w:rPr>
                <w:rFonts w:ascii="Arial" w:hAnsi="Arial" w:cs="Arial"/>
                <w:b/>
                <w:bCs/>
                <w:color w:val="000000"/>
                <w:sz w:val="14"/>
                <w:szCs w:val="14"/>
              </w:rPr>
            </w:pPr>
            <w:r w:rsidRPr="00653EE4">
              <w:rPr>
                <w:rFonts w:ascii="Arial" w:hAnsi="Arial" w:cs="Arial"/>
                <w:b/>
                <w:bCs/>
                <w:color w:val="000000"/>
                <w:sz w:val="14"/>
                <w:szCs w:val="14"/>
              </w:rPr>
              <w:t>5,7</w:t>
            </w:r>
          </w:p>
        </w:tc>
        <w:tc>
          <w:tcPr>
            <w:tcW w:w="780" w:type="dxa"/>
            <w:tcBorders>
              <w:top w:val="nil"/>
              <w:left w:val="nil"/>
              <w:bottom w:val="single" w:sz="8"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475</w:t>
            </w:r>
          </w:p>
        </w:tc>
        <w:tc>
          <w:tcPr>
            <w:tcW w:w="720" w:type="dxa"/>
            <w:tcBorders>
              <w:top w:val="nil"/>
              <w:left w:val="nil"/>
              <w:bottom w:val="single" w:sz="8"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298,7</w:t>
            </w:r>
          </w:p>
        </w:tc>
        <w:tc>
          <w:tcPr>
            <w:tcW w:w="800" w:type="dxa"/>
            <w:tcBorders>
              <w:top w:val="nil"/>
              <w:left w:val="nil"/>
              <w:bottom w:val="single" w:sz="8" w:space="0" w:color="auto"/>
              <w:right w:val="single" w:sz="4"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63%</w:t>
            </w:r>
          </w:p>
        </w:tc>
        <w:tc>
          <w:tcPr>
            <w:tcW w:w="800" w:type="dxa"/>
            <w:tcBorders>
              <w:top w:val="nil"/>
              <w:left w:val="nil"/>
              <w:bottom w:val="single" w:sz="8" w:space="0" w:color="auto"/>
              <w:right w:val="single" w:sz="8"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157,2</w:t>
            </w:r>
          </w:p>
        </w:tc>
        <w:tc>
          <w:tcPr>
            <w:tcW w:w="760" w:type="dxa"/>
            <w:tcBorders>
              <w:top w:val="nil"/>
              <w:left w:val="nil"/>
              <w:bottom w:val="single" w:sz="8" w:space="0" w:color="auto"/>
              <w:right w:val="single" w:sz="8"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514 348</w:t>
            </w:r>
          </w:p>
        </w:tc>
        <w:tc>
          <w:tcPr>
            <w:tcW w:w="920" w:type="dxa"/>
            <w:tcBorders>
              <w:top w:val="nil"/>
              <w:left w:val="nil"/>
              <w:bottom w:val="single" w:sz="8" w:space="0" w:color="auto"/>
              <w:right w:val="single" w:sz="8" w:space="0" w:color="auto"/>
            </w:tcBorders>
            <w:noWrap/>
            <w:vAlign w:val="center"/>
          </w:tcPr>
          <w:p w:rsidR="00646A63" w:rsidRPr="00653EE4" w:rsidRDefault="00646A63" w:rsidP="0007169B">
            <w:pPr>
              <w:jc w:val="right"/>
              <w:rPr>
                <w:rFonts w:ascii="Arial" w:hAnsi="Arial" w:cs="Arial"/>
                <w:color w:val="000000"/>
                <w:sz w:val="14"/>
                <w:szCs w:val="14"/>
              </w:rPr>
            </w:pPr>
            <w:r w:rsidRPr="00653EE4">
              <w:rPr>
                <w:rFonts w:ascii="Arial" w:hAnsi="Arial" w:cs="Arial"/>
                <w:color w:val="000000"/>
                <w:sz w:val="14"/>
                <w:szCs w:val="14"/>
              </w:rPr>
              <w:t>40,7%</w:t>
            </w:r>
          </w:p>
        </w:tc>
      </w:tr>
      <w:tr w:rsidR="00646A63" w:rsidRPr="00653EE4" w:rsidTr="008B2521">
        <w:trPr>
          <w:trHeight w:val="255"/>
        </w:trPr>
        <w:tc>
          <w:tcPr>
            <w:tcW w:w="700" w:type="dxa"/>
            <w:tcBorders>
              <w:top w:val="nil"/>
              <w:left w:val="single" w:sz="8" w:space="0" w:color="auto"/>
              <w:bottom w:val="single" w:sz="8" w:space="0" w:color="auto"/>
              <w:right w:val="single" w:sz="8" w:space="0" w:color="auto"/>
            </w:tcBorders>
            <w:shd w:val="clear" w:color="000000" w:fill="D9D9D9"/>
            <w:noWrap/>
            <w:vAlign w:val="center"/>
          </w:tcPr>
          <w:p w:rsidR="00646A63" w:rsidRPr="00653EE4" w:rsidRDefault="00646A63" w:rsidP="0007169B">
            <w:pPr>
              <w:jc w:val="center"/>
              <w:rPr>
                <w:rFonts w:ascii="Arial" w:hAnsi="Arial" w:cs="Arial"/>
                <w:b/>
                <w:bCs/>
                <w:color w:val="000000"/>
                <w:sz w:val="14"/>
                <w:szCs w:val="14"/>
              </w:rPr>
            </w:pPr>
            <w:r w:rsidRPr="00653EE4">
              <w:rPr>
                <w:rFonts w:ascii="Arial" w:hAnsi="Arial" w:cs="Arial"/>
                <w:b/>
                <w:bCs/>
                <w:color w:val="000000"/>
                <w:sz w:val="14"/>
                <w:szCs w:val="14"/>
              </w:rPr>
              <w:t>Celkem</w:t>
            </w:r>
          </w:p>
        </w:tc>
        <w:tc>
          <w:tcPr>
            <w:tcW w:w="840" w:type="dxa"/>
            <w:tcBorders>
              <w:top w:val="nil"/>
              <w:left w:val="nil"/>
              <w:bottom w:val="single" w:sz="8" w:space="0" w:color="auto"/>
              <w:right w:val="single" w:sz="4" w:space="0" w:color="auto"/>
            </w:tcBorders>
            <w:shd w:val="clear" w:color="000000" w:fill="D9D9D9"/>
            <w:noWrap/>
            <w:vAlign w:val="center"/>
          </w:tcPr>
          <w:p w:rsidR="00646A63" w:rsidRPr="008B2521" w:rsidRDefault="00646A63" w:rsidP="008B2521">
            <w:pPr>
              <w:jc w:val="right"/>
              <w:rPr>
                <w:rFonts w:ascii="Arial" w:hAnsi="Arial" w:cs="Arial"/>
                <w:b/>
                <w:color w:val="000000"/>
                <w:sz w:val="14"/>
                <w:szCs w:val="14"/>
              </w:rPr>
            </w:pPr>
            <w:r w:rsidRPr="008B2521">
              <w:rPr>
                <w:rFonts w:ascii="Arial" w:hAnsi="Arial" w:cs="Arial"/>
                <w:b/>
                <w:color w:val="000000"/>
                <w:sz w:val="14"/>
                <w:szCs w:val="14"/>
              </w:rPr>
              <w:t>5 615</w:t>
            </w:r>
          </w:p>
        </w:tc>
        <w:tc>
          <w:tcPr>
            <w:tcW w:w="720" w:type="dxa"/>
            <w:tcBorders>
              <w:top w:val="nil"/>
              <w:left w:val="nil"/>
              <w:bottom w:val="single" w:sz="8" w:space="0" w:color="auto"/>
              <w:right w:val="single" w:sz="4" w:space="0" w:color="auto"/>
            </w:tcBorders>
            <w:shd w:val="clear" w:color="000000" w:fill="D9D9D9"/>
            <w:noWrap/>
            <w:vAlign w:val="center"/>
          </w:tcPr>
          <w:p w:rsidR="00646A63" w:rsidRPr="008B2521" w:rsidRDefault="00646A63" w:rsidP="008B2521">
            <w:pPr>
              <w:jc w:val="right"/>
              <w:rPr>
                <w:rFonts w:ascii="Arial" w:hAnsi="Arial" w:cs="Arial"/>
                <w:b/>
                <w:bCs/>
                <w:color w:val="000000"/>
                <w:sz w:val="14"/>
                <w:szCs w:val="14"/>
              </w:rPr>
            </w:pPr>
            <w:r w:rsidRPr="008B2521">
              <w:rPr>
                <w:rFonts w:ascii="Arial" w:hAnsi="Arial" w:cs="Arial"/>
                <w:b/>
                <w:bCs/>
                <w:color w:val="000000"/>
                <w:sz w:val="14"/>
                <w:szCs w:val="14"/>
              </w:rPr>
              <w:t>18 475</w:t>
            </w:r>
          </w:p>
        </w:tc>
        <w:tc>
          <w:tcPr>
            <w:tcW w:w="720" w:type="dxa"/>
            <w:tcBorders>
              <w:top w:val="nil"/>
              <w:left w:val="nil"/>
              <w:bottom w:val="single" w:sz="8" w:space="0" w:color="auto"/>
              <w:right w:val="single" w:sz="8" w:space="0" w:color="auto"/>
            </w:tcBorders>
            <w:shd w:val="clear" w:color="000000" w:fill="D9D9D9"/>
            <w:noWrap/>
            <w:vAlign w:val="center"/>
          </w:tcPr>
          <w:p w:rsidR="00646A63" w:rsidRPr="008B2521" w:rsidRDefault="00646A63" w:rsidP="008B2521">
            <w:pPr>
              <w:jc w:val="right"/>
              <w:rPr>
                <w:rFonts w:ascii="Arial" w:hAnsi="Arial" w:cs="Arial"/>
                <w:b/>
                <w:bCs/>
                <w:color w:val="000000"/>
                <w:sz w:val="14"/>
                <w:szCs w:val="14"/>
              </w:rPr>
            </w:pPr>
            <w:r w:rsidRPr="008B2521">
              <w:rPr>
                <w:rFonts w:ascii="Arial" w:hAnsi="Arial" w:cs="Arial"/>
                <w:b/>
                <w:bCs/>
                <w:color w:val="000000"/>
                <w:sz w:val="14"/>
                <w:szCs w:val="14"/>
              </w:rPr>
              <w:t>1 545</w:t>
            </w:r>
          </w:p>
        </w:tc>
        <w:tc>
          <w:tcPr>
            <w:tcW w:w="660" w:type="dxa"/>
            <w:tcBorders>
              <w:top w:val="nil"/>
              <w:left w:val="nil"/>
              <w:bottom w:val="single" w:sz="8" w:space="0" w:color="auto"/>
              <w:right w:val="single" w:sz="4" w:space="0" w:color="auto"/>
            </w:tcBorders>
            <w:shd w:val="clear" w:color="000000" w:fill="D9D9D9"/>
            <w:noWrap/>
            <w:vAlign w:val="center"/>
          </w:tcPr>
          <w:p w:rsidR="00646A63" w:rsidRPr="008B2521" w:rsidRDefault="00646A63" w:rsidP="008B2521">
            <w:pPr>
              <w:jc w:val="right"/>
              <w:rPr>
                <w:rFonts w:ascii="Arial" w:hAnsi="Arial" w:cs="Arial"/>
                <w:b/>
                <w:color w:val="000000"/>
                <w:sz w:val="14"/>
                <w:szCs w:val="14"/>
              </w:rPr>
            </w:pPr>
            <w:r w:rsidRPr="008B2521">
              <w:rPr>
                <w:rFonts w:ascii="Arial" w:hAnsi="Arial" w:cs="Arial"/>
                <w:b/>
                <w:color w:val="000000"/>
                <w:sz w:val="14"/>
                <w:szCs w:val="14"/>
              </w:rPr>
              <w:t>3,63</w:t>
            </w:r>
          </w:p>
        </w:tc>
        <w:tc>
          <w:tcPr>
            <w:tcW w:w="660" w:type="dxa"/>
            <w:tcBorders>
              <w:top w:val="nil"/>
              <w:left w:val="nil"/>
              <w:bottom w:val="single" w:sz="8" w:space="0" w:color="auto"/>
              <w:right w:val="single" w:sz="8" w:space="0" w:color="auto"/>
            </w:tcBorders>
            <w:shd w:val="clear" w:color="000000" w:fill="D9D9D9"/>
            <w:noWrap/>
            <w:vAlign w:val="center"/>
          </w:tcPr>
          <w:p w:rsidR="00646A63" w:rsidRPr="008B2521" w:rsidRDefault="00646A63" w:rsidP="008B2521">
            <w:pPr>
              <w:jc w:val="right"/>
              <w:rPr>
                <w:rFonts w:ascii="Arial" w:hAnsi="Arial" w:cs="Arial"/>
                <w:b/>
                <w:bCs/>
                <w:color w:val="000000"/>
                <w:sz w:val="14"/>
                <w:szCs w:val="14"/>
              </w:rPr>
            </w:pPr>
            <w:r w:rsidRPr="008B2521">
              <w:rPr>
                <w:rFonts w:ascii="Arial" w:hAnsi="Arial" w:cs="Arial"/>
                <w:b/>
                <w:bCs/>
                <w:color w:val="000000"/>
                <w:sz w:val="14"/>
                <w:szCs w:val="14"/>
              </w:rPr>
              <w:t>12,0</w:t>
            </w:r>
          </w:p>
        </w:tc>
        <w:tc>
          <w:tcPr>
            <w:tcW w:w="780" w:type="dxa"/>
            <w:tcBorders>
              <w:top w:val="nil"/>
              <w:left w:val="nil"/>
              <w:bottom w:val="single" w:sz="8" w:space="0" w:color="auto"/>
              <w:right w:val="nil"/>
            </w:tcBorders>
            <w:shd w:val="clear" w:color="000000" w:fill="D9D9D9"/>
            <w:noWrap/>
            <w:vAlign w:val="center"/>
          </w:tcPr>
          <w:p w:rsidR="00646A63" w:rsidRPr="008B2521" w:rsidRDefault="00646A63" w:rsidP="008B2521">
            <w:pPr>
              <w:jc w:val="right"/>
              <w:rPr>
                <w:rFonts w:ascii="Arial" w:hAnsi="Arial" w:cs="Arial"/>
                <w:b/>
                <w:bCs/>
                <w:color w:val="000000"/>
                <w:sz w:val="14"/>
                <w:szCs w:val="14"/>
              </w:rPr>
            </w:pPr>
            <w:r w:rsidRPr="008B2521">
              <w:rPr>
                <w:rFonts w:ascii="Arial" w:hAnsi="Arial" w:cs="Arial"/>
                <w:b/>
                <w:bCs/>
                <w:color w:val="000000"/>
                <w:sz w:val="14"/>
                <w:szCs w:val="14"/>
              </w:rPr>
              <w:t>&gt; 2 650</w:t>
            </w:r>
          </w:p>
        </w:tc>
        <w:tc>
          <w:tcPr>
            <w:tcW w:w="720" w:type="dxa"/>
            <w:tcBorders>
              <w:top w:val="nil"/>
              <w:left w:val="single" w:sz="4" w:space="0" w:color="auto"/>
              <w:bottom w:val="single" w:sz="8" w:space="0" w:color="auto"/>
              <w:right w:val="single" w:sz="4" w:space="0" w:color="auto"/>
            </w:tcBorders>
            <w:shd w:val="clear" w:color="000000" w:fill="D9D9D9"/>
            <w:noWrap/>
            <w:vAlign w:val="center"/>
          </w:tcPr>
          <w:p w:rsidR="00646A63" w:rsidRPr="008B2521" w:rsidRDefault="00646A63" w:rsidP="008B2521">
            <w:pPr>
              <w:jc w:val="right"/>
              <w:rPr>
                <w:rFonts w:ascii="Arial" w:hAnsi="Arial" w:cs="Arial"/>
                <w:b/>
                <w:bCs/>
                <w:color w:val="000000"/>
                <w:sz w:val="14"/>
                <w:szCs w:val="14"/>
              </w:rPr>
            </w:pPr>
            <w:r w:rsidRPr="008B2521">
              <w:rPr>
                <w:rFonts w:ascii="Arial" w:hAnsi="Arial" w:cs="Arial"/>
                <w:b/>
                <w:bCs/>
                <w:color w:val="000000"/>
                <w:sz w:val="14"/>
                <w:szCs w:val="14"/>
              </w:rPr>
              <w:t>1 238,9</w:t>
            </w:r>
          </w:p>
        </w:tc>
        <w:tc>
          <w:tcPr>
            <w:tcW w:w="800" w:type="dxa"/>
            <w:tcBorders>
              <w:top w:val="nil"/>
              <w:left w:val="nil"/>
              <w:bottom w:val="single" w:sz="8" w:space="0" w:color="auto"/>
              <w:right w:val="single" w:sz="4" w:space="0" w:color="auto"/>
            </w:tcBorders>
            <w:shd w:val="clear" w:color="000000" w:fill="D9D9D9"/>
            <w:noWrap/>
            <w:vAlign w:val="center"/>
          </w:tcPr>
          <w:p w:rsidR="00646A63" w:rsidRPr="008B2521" w:rsidRDefault="00646A63" w:rsidP="008B2521">
            <w:pPr>
              <w:jc w:val="right"/>
              <w:rPr>
                <w:rFonts w:ascii="Arial" w:hAnsi="Arial" w:cs="Arial"/>
                <w:b/>
                <w:bCs/>
                <w:color w:val="000000"/>
                <w:sz w:val="14"/>
                <w:szCs w:val="14"/>
              </w:rPr>
            </w:pPr>
            <w:r w:rsidRPr="008B2521">
              <w:rPr>
                <w:rFonts w:ascii="Arial" w:hAnsi="Arial" w:cs="Arial"/>
                <w:b/>
                <w:bCs/>
                <w:color w:val="000000"/>
                <w:sz w:val="14"/>
                <w:szCs w:val="14"/>
              </w:rPr>
              <w:t>47%</w:t>
            </w:r>
          </w:p>
        </w:tc>
        <w:tc>
          <w:tcPr>
            <w:tcW w:w="800" w:type="dxa"/>
            <w:tcBorders>
              <w:top w:val="nil"/>
              <w:left w:val="nil"/>
              <w:bottom w:val="single" w:sz="8" w:space="0" w:color="auto"/>
              <w:right w:val="single" w:sz="8" w:space="0" w:color="auto"/>
            </w:tcBorders>
            <w:shd w:val="clear" w:color="000000" w:fill="D9D9D9"/>
            <w:noWrap/>
            <w:vAlign w:val="center"/>
          </w:tcPr>
          <w:p w:rsidR="00646A63" w:rsidRPr="008B2521" w:rsidRDefault="00646A63" w:rsidP="008B2521">
            <w:pPr>
              <w:jc w:val="right"/>
              <w:rPr>
                <w:rFonts w:ascii="Arial" w:hAnsi="Arial" w:cs="Arial"/>
                <w:b/>
                <w:color w:val="000000"/>
                <w:sz w:val="14"/>
                <w:szCs w:val="14"/>
              </w:rPr>
            </w:pPr>
            <w:r w:rsidRPr="008B2521">
              <w:rPr>
                <w:rFonts w:ascii="Arial" w:hAnsi="Arial" w:cs="Arial"/>
                <w:b/>
                <w:color w:val="000000"/>
                <w:sz w:val="14"/>
                <w:szCs w:val="14"/>
              </w:rPr>
              <w:t>324,9</w:t>
            </w:r>
          </w:p>
        </w:tc>
        <w:tc>
          <w:tcPr>
            <w:tcW w:w="760" w:type="dxa"/>
            <w:tcBorders>
              <w:top w:val="nil"/>
              <w:left w:val="nil"/>
              <w:bottom w:val="single" w:sz="8" w:space="0" w:color="auto"/>
              <w:right w:val="single" w:sz="8" w:space="0" w:color="auto"/>
            </w:tcBorders>
            <w:shd w:val="clear" w:color="000000" w:fill="D9D9D9"/>
            <w:noWrap/>
            <w:vAlign w:val="center"/>
          </w:tcPr>
          <w:p w:rsidR="00646A63" w:rsidRPr="008B2521" w:rsidRDefault="00646A63" w:rsidP="008B2521">
            <w:pPr>
              <w:jc w:val="right"/>
              <w:rPr>
                <w:rFonts w:ascii="Arial" w:hAnsi="Arial" w:cs="Arial"/>
                <w:b/>
                <w:bCs/>
                <w:color w:val="000000"/>
                <w:sz w:val="14"/>
                <w:szCs w:val="14"/>
              </w:rPr>
            </w:pPr>
            <w:r w:rsidRPr="008B2521">
              <w:rPr>
                <w:rFonts w:ascii="Arial" w:hAnsi="Arial" w:cs="Arial"/>
                <w:b/>
                <w:bCs/>
                <w:color w:val="000000"/>
                <w:sz w:val="14"/>
                <w:szCs w:val="14"/>
              </w:rPr>
              <w:t> </w:t>
            </w:r>
          </w:p>
        </w:tc>
        <w:tc>
          <w:tcPr>
            <w:tcW w:w="920" w:type="dxa"/>
            <w:tcBorders>
              <w:top w:val="nil"/>
              <w:left w:val="nil"/>
              <w:bottom w:val="single" w:sz="8" w:space="0" w:color="auto"/>
              <w:right w:val="single" w:sz="8" w:space="0" w:color="auto"/>
            </w:tcBorders>
            <w:shd w:val="clear" w:color="000000" w:fill="D9D9D9"/>
            <w:noWrap/>
            <w:vAlign w:val="center"/>
          </w:tcPr>
          <w:p w:rsidR="00646A63" w:rsidRPr="008B2521" w:rsidRDefault="00646A63" w:rsidP="008B2521">
            <w:pPr>
              <w:jc w:val="right"/>
              <w:rPr>
                <w:rFonts w:ascii="Arial" w:hAnsi="Arial" w:cs="Arial"/>
                <w:b/>
                <w:bCs/>
                <w:color w:val="000000"/>
                <w:sz w:val="14"/>
                <w:szCs w:val="14"/>
              </w:rPr>
            </w:pPr>
            <w:r w:rsidRPr="008B2521">
              <w:rPr>
                <w:rFonts w:ascii="Arial" w:hAnsi="Arial" w:cs="Arial"/>
                <w:b/>
                <w:bCs/>
                <w:color w:val="000000"/>
                <w:sz w:val="14"/>
                <w:szCs w:val="14"/>
              </w:rPr>
              <w:t> </w:t>
            </w:r>
          </w:p>
        </w:tc>
      </w:tr>
    </w:tbl>
    <w:p w:rsidR="00646A63" w:rsidRDefault="00646A63" w:rsidP="00CF5B27">
      <w:pPr>
        <w:spacing w:after="120"/>
        <w:jc w:val="both"/>
        <w:rPr>
          <w:rFonts w:ascii="Arial" w:hAnsi="Arial" w:cs="Arial"/>
          <w:sz w:val="16"/>
        </w:rPr>
      </w:pPr>
      <w:r w:rsidRPr="00810087">
        <w:rPr>
          <w:rFonts w:ascii="Arial" w:hAnsi="Arial" w:cs="Arial"/>
          <w:sz w:val="16"/>
        </w:rPr>
        <w:t xml:space="preserve">* Pro vykazování údajů k zajištění úhrady na nesplatnou nebo dosud nestanovenou daň je od roku 2015 používána nová </w:t>
      </w:r>
      <w:r>
        <w:rPr>
          <w:rFonts w:ascii="Arial" w:hAnsi="Arial" w:cs="Arial"/>
          <w:sz w:val="16"/>
        </w:rPr>
        <w:t>metodika</w:t>
      </w:r>
      <w:r w:rsidRPr="00810087">
        <w:rPr>
          <w:rFonts w:ascii="Arial" w:hAnsi="Arial" w:cs="Arial"/>
          <w:sz w:val="16"/>
        </w:rPr>
        <w:t xml:space="preserve">. Za účelem meziročního porovnání byly údaje k zajištění daní za rok 2014 vygenerovány zpětně podle nové metodiky (dle staré metodiky byl za rok 2014 počet </w:t>
      </w:r>
      <w:r>
        <w:rPr>
          <w:rFonts w:ascii="Arial" w:hAnsi="Arial" w:cs="Arial"/>
          <w:sz w:val="16"/>
        </w:rPr>
        <w:t>zajišťovacích příkazů</w:t>
      </w:r>
      <w:r w:rsidRPr="00810087">
        <w:rPr>
          <w:rFonts w:ascii="Arial" w:hAnsi="Arial" w:cs="Arial"/>
          <w:sz w:val="16"/>
        </w:rPr>
        <w:t xml:space="preserve"> 867, částka zajištění 3 827 mil. Kč). Za předchozí roky se údaje zpětně již negenerovaly.</w:t>
      </w:r>
    </w:p>
    <w:p w:rsidR="00646A63" w:rsidRPr="00B412EE" w:rsidRDefault="00646A63" w:rsidP="00CF5B27">
      <w:pPr>
        <w:jc w:val="right"/>
        <w:rPr>
          <w:rFonts w:ascii="Arial" w:hAnsi="Arial" w:cs="Arial"/>
          <w:bCs/>
          <w:i/>
          <w:sz w:val="14"/>
          <w:szCs w:val="22"/>
        </w:rPr>
      </w:pPr>
      <w:r>
        <w:rPr>
          <w:rFonts w:ascii="Arial" w:hAnsi="Arial" w:cs="Arial"/>
          <w:bCs/>
          <w:i/>
          <w:sz w:val="14"/>
          <w:szCs w:val="22"/>
        </w:rPr>
        <w:t>stav k 31. 7. 2017</w:t>
      </w:r>
    </w:p>
    <w:tbl>
      <w:tblPr>
        <w:tblW w:w="9072"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A0"/>
      </w:tblPr>
      <w:tblGrid>
        <w:gridCol w:w="3515"/>
        <w:gridCol w:w="1111"/>
        <w:gridCol w:w="1111"/>
        <w:gridCol w:w="1112"/>
        <w:gridCol w:w="1111"/>
        <w:gridCol w:w="1112"/>
      </w:tblGrid>
      <w:tr w:rsidR="00646A63" w:rsidTr="00996213">
        <w:tc>
          <w:tcPr>
            <w:tcW w:w="3515" w:type="dxa"/>
            <w:tcBorders>
              <w:top w:val="single" w:sz="8" w:space="0" w:color="auto"/>
            </w:tcBorders>
            <w:shd w:val="clear" w:color="auto" w:fill="D9D9D9"/>
          </w:tcPr>
          <w:p w:rsidR="00646A63" w:rsidRPr="00996213" w:rsidRDefault="00646A63" w:rsidP="00996213">
            <w:pPr>
              <w:jc w:val="center"/>
              <w:rPr>
                <w:rFonts w:ascii="Calibri" w:hAnsi="Calibri" w:cs="Arial"/>
                <w:b/>
                <w:bCs/>
                <w:sz w:val="18"/>
                <w:szCs w:val="22"/>
              </w:rPr>
            </w:pPr>
            <w:r w:rsidRPr="00996213">
              <w:rPr>
                <w:rFonts w:ascii="Calibri" w:hAnsi="Calibri" w:cs="Arial"/>
                <w:b/>
                <w:bCs/>
                <w:sz w:val="18"/>
                <w:szCs w:val="22"/>
              </w:rPr>
              <w:t>Rok</w:t>
            </w:r>
          </w:p>
        </w:tc>
        <w:tc>
          <w:tcPr>
            <w:tcW w:w="1111" w:type="dxa"/>
            <w:tcBorders>
              <w:top w:val="single" w:sz="8" w:space="0" w:color="auto"/>
            </w:tcBorders>
            <w:shd w:val="clear" w:color="auto" w:fill="D9D9D9"/>
          </w:tcPr>
          <w:p w:rsidR="00646A63" w:rsidRPr="00996213" w:rsidRDefault="00646A63" w:rsidP="00996213">
            <w:pPr>
              <w:jc w:val="center"/>
              <w:rPr>
                <w:rFonts w:ascii="Calibri" w:hAnsi="Calibri" w:cs="Arial"/>
                <w:b/>
                <w:bCs/>
                <w:sz w:val="18"/>
                <w:szCs w:val="22"/>
              </w:rPr>
            </w:pPr>
            <w:r w:rsidRPr="00996213">
              <w:rPr>
                <w:rFonts w:ascii="Calibri" w:hAnsi="Calibri" w:cs="Arial"/>
                <w:b/>
                <w:bCs/>
                <w:sz w:val="18"/>
                <w:szCs w:val="22"/>
              </w:rPr>
              <w:t>2013</w:t>
            </w:r>
          </w:p>
        </w:tc>
        <w:tc>
          <w:tcPr>
            <w:tcW w:w="1111" w:type="dxa"/>
            <w:tcBorders>
              <w:top w:val="single" w:sz="8" w:space="0" w:color="auto"/>
            </w:tcBorders>
            <w:shd w:val="clear" w:color="auto" w:fill="D9D9D9"/>
          </w:tcPr>
          <w:p w:rsidR="00646A63" w:rsidRPr="00996213" w:rsidRDefault="00646A63" w:rsidP="00996213">
            <w:pPr>
              <w:jc w:val="center"/>
              <w:rPr>
                <w:rFonts w:ascii="Calibri" w:hAnsi="Calibri" w:cs="Arial"/>
                <w:b/>
                <w:bCs/>
                <w:sz w:val="18"/>
                <w:szCs w:val="22"/>
              </w:rPr>
            </w:pPr>
            <w:r w:rsidRPr="00996213">
              <w:rPr>
                <w:rFonts w:ascii="Calibri" w:hAnsi="Calibri" w:cs="Arial"/>
                <w:b/>
                <w:bCs/>
                <w:sz w:val="18"/>
                <w:szCs w:val="22"/>
              </w:rPr>
              <w:t>2014</w:t>
            </w:r>
          </w:p>
        </w:tc>
        <w:tc>
          <w:tcPr>
            <w:tcW w:w="1112" w:type="dxa"/>
            <w:tcBorders>
              <w:top w:val="single" w:sz="8" w:space="0" w:color="auto"/>
            </w:tcBorders>
            <w:shd w:val="clear" w:color="auto" w:fill="D9D9D9"/>
          </w:tcPr>
          <w:p w:rsidR="00646A63" w:rsidRPr="00996213" w:rsidRDefault="00646A63" w:rsidP="00996213">
            <w:pPr>
              <w:jc w:val="center"/>
              <w:rPr>
                <w:rFonts w:ascii="Calibri" w:hAnsi="Calibri" w:cs="Arial"/>
                <w:b/>
                <w:bCs/>
                <w:sz w:val="18"/>
                <w:szCs w:val="22"/>
              </w:rPr>
            </w:pPr>
            <w:r w:rsidRPr="00996213">
              <w:rPr>
                <w:rFonts w:ascii="Calibri" w:hAnsi="Calibri" w:cs="Arial"/>
                <w:b/>
                <w:bCs/>
                <w:sz w:val="18"/>
                <w:szCs w:val="22"/>
              </w:rPr>
              <w:t>2015</w:t>
            </w:r>
          </w:p>
        </w:tc>
        <w:tc>
          <w:tcPr>
            <w:tcW w:w="1111" w:type="dxa"/>
            <w:tcBorders>
              <w:top w:val="single" w:sz="8" w:space="0" w:color="auto"/>
            </w:tcBorders>
            <w:shd w:val="clear" w:color="auto" w:fill="D9D9D9"/>
          </w:tcPr>
          <w:p w:rsidR="00646A63" w:rsidRPr="00996213" w:rsidRDefault="00646A63" w:rsidP="00996213">
            <w:pPr>
              <w:jc w:val="center"/>
              <w:rPr>
                <w:rFonts w:ascii="Calibri" w:hAnsi="Calibri" w:cs="Arial"/>
                <w:b/>
                <w:bCs/>
                <w:sz w:val="18"/>
                <w:szCs w:val="22"/>
              </w:rPr>
            </w:pPr>
            <w:r w:rsidRPr="00996213">
              <w:rPr>
                <w:rFonts w:ascii="Calibri" w:hAnsi="Calibri" w:cs="Arial"/>
                <w:b/>
                <w:bCs/>
                <w:sz w:val="18"/>
                <w:szCs w:val="22"/>
              </w:rPr>
              <w:t>2016</w:t>
            </w:r>
          </w:p>
        </w:tc>
        <w:tc>
          <w:tcPr>
            <w:tcW w:w="1112" w:type="dxa"/>
            <w:tcBorders>
              <w:top w:val="single" w:sz="8" w:space="0" w:color="auto"/>
            </w:tcBorders>
            <w:shd w:val="clear" w:color="auto" w:fill="D9D9D9"/>
          </w:tcPr>
          <w:p w:rsidR="00646A63" w:rsidRPr="00996213" w:rsidRDefault="00646A63" w:rsidP="00996213">
            <w:pPr>
              <w:jc w:val="center"/>
              <w:rPr>
                <w:rFonts w:ascii="Calibri" w:hAnsi="Calibri" w:cs="Arial"/>
                <w:b/>
                <w:bCs/>
                <w:sz w:val="18"/>
                <w:szCs w:val="22"/>
              </w:rPr>
            </w:pPr>
            <w:r w:rsidRPr="00996213">
              <w:rPr>
                <w:rFonts w:ascii="Calibri" w:hAnsi="Calibri" w:cs="Arial"/>
                <w:b/>
                <w:bCs/>
                <w:sz w:val="18"/>
                <w:szCs w:val="22"/>
              </w:rPr>
              <w:t>do 7/2017</w:t>
            </w:r>
          </w:p>
        </w:tc>
      </w:tr>
      <w:tr w:rsidR="00646A63" w:rsidTr="00996213">
        <w:tc>
          <w:tcPr>
            <w:tcW w:w="3515" w:type="dxa"/>
            <w:tcBorders>
              <w:bottom w:val="single" w:sz="8" w:space="0" w:color="auto"/>
            </w:tcBorders>
            <w:shd w:val="clear" w:color="auto" w:fill="D9D9D9"/>
          </w:tcPr>
          <w:p w:rsidR="00646A63" w:rsidRPr="00996213" w:rsidRDefault="00646A63" w:rsidP="00996213">
            <w:pPr>
              <w:jc w:val="center"/>
              <w:rPr>
                <w:rFonts w:ascii="Calibri" w:hAnsi="Calibri" w:cs="Arial"/>
                <w:b/>
                <w:bCs/>
                <w:sz w:val="18"/>
                <w:szCs w:val="22"/>
              </w:rPr>
            </w:pPr>
            <w:r w:rsidRPr="00996213">
              <w:rPr>
                <w:rFonts w:ascii="Calibri" w:hAnsi="Calibri" w:cs="Arial"/>
                <w:b/>
                <w:bCs/>
                <w:sz w:val="18"/>
                <w:szCs w:val="22"/>
              </w:rPr>
              <w:t>Podíl dotčených daňových subjektů na celkovém počtu registrovaných plátců DPH</w:t>
            </w:r>
          </w:p>
        </w:tc>
        <w:tc>
          <w:tcPr>
            <w:tcW w:w="1111" w:type="dxa"/>
            <w:tcBorders>
              <w:bottom w:val="single" w:sz="8" w:space="0" w:color="auto"/>
            </w:tcBorders>
            <w:vAlign w:val="center"/>
          </w:tcPr>
          <w:p w:rsidR="00646A63" w:rsidRPr="00996213" w:rsidRDefault="00646A63" w:rsidP="00996213">
            <w:pPr>
              <w:jc w:val="center"/>
              <w:rPr>
                <w:rFonts w:ascii="Calibri" w:hAnsi="Calibri" w:cs="Arial"/>
                <w:bCs/>
                <w:sz w:val="18"/>
                <w:szCs w:val="22"/>
              </w:rPr>
            </w:pPr>
            <w:r w:rsidRPr="00996213">
              <w:rPr>
                <w:rFonts w:ascii="Calibri" w:hAnsi="Calibri" w:cs="Arial"/>
                <w:bCs/>
                <w:sz w:val="18"/>
                <w:szCs w:val="22"/>
              </w:rPr>
              <w:t>0,055 %</w:t>
            </w:r>
          </w:p>
        </w:tc>
        <w:tc>
          <w:tcPr>
            <w:tcW w:w="1111" w:type="dxa"/>
            <w:tcBorders>
              <w:bottom w:val="single" w:sz="8" w:space="0" w:color="auto"/>
            </w:tcBorders>
            <w:vAlign w:val="center"/>
          </w:tcPr>
          <w:p w:rsidR="00646A63" w:rsidRPr="00996213" w:rsidRDefault="00646A63" w:rsidP="00996213">
            <w:pPr>
              <w:jc w:val="center"/>
              <w:rPr>
                <w:rFonts w:ascii="Calibri" w:hAnsi="Calibri" w:cs="Arial"/>
                <w:bCs/>
                <w:sz w:val="18"/>
                <w:szCs w:val="22"/>
              </w:rPr>
            </w:pPr>
            <w:r w:rsidRPr="00996213">
              <w:rPr>
                <w:rFonts w:ascii="Calibri" w:hAnsi="Calibri" w:cs="Arial"/>
                <w:bCs/>
                <w:sz w:val="18"/>
                <w:szCs w:val="22"/>
              </w:rPr>
              <w:t>0,064 %</w:t>
            </w:r>
          </w:p>
        </w:tc>
        <w:tc>
          <w:tcPr>
            <w:tcW w:w="1112" w:type="dxa"/>
            <w:tcBorders>
              <w:bottom w:val="single" w:sz="8" w:space="0" w:color="auto"/>
            </w:tcBorders>
            <w:vAlign w:val="center"/>
          </w:tcPr>
          <w:p w:rsidR="00646A63" w:rsidRPr="00996213" w:rsidRDefault="00646A63" w:rsidP="00996213">
            <w:pPr>
              <w:jc w:val="center"/>
              <w:rPr>
                <w:rFonts w:ascii="Calibri" w:hAnsi="Calibri" w:cs="Arial"/>
                <w:bCs/>
                <w:sz w:val="18"/>
                <w:szCs w:val="22"/>
              </w:rPr>
            </w:pPr>
            <w:r w:rsidRPr="00996213">
              <w:rPr>
                <w:rFonts w:ascii="Calibri" w:hAnsi="Calibri" w:cs="Arial"/>
                <w:bCs/>
                <w:sz w:val="18"/>
                <w:szCs w:val="22"/>
              </w:rPr>
              <w:t>0,084 %</w:t>
            </w:r>
          </w:p>
        </w:tc>
        <w:tc>
          <w:tcPr>
            <w:tcW w:w="1111" w:type="dxa"/>
            <w:tcBorders>
              <w:bottom w:val="single" w:sz="8" w:space="0" w:color="auto"/>
            </w:tcBorders>
            <w:vAlign w:val="center"/>
          </w:tcPr>
          <w:p w:rsidR="00646A63" w:rsidRPr="00996213" w:rsidRDefault="00646A63" w:rsidP="00996213">
            <w:pPr>
              <w:jc w:val="center"/>
              <w:rPr>
                <w:rFonts w:ascii="Calibri" w:hAnsi="Calibri" w:cs="Arial"/>
                <w:bCs/>
                <w:sz w:val="18"/>
                <w:szCs w:val="22"/>
              </w:rPr>
            </w:pPr>
            <w:r w:rsidRPr="00996213">
              <w:rPr>
                <w:rFonts w:ascii="Calibri" w:hAnsi="Calibri" w:cs="Arial"/>
                <w:bCs/>
                <w:sz w:val="18"/>
                <w:szCs w:val="22"/>
              </w:rPr>
              <w:t>0,061 %</w:t>
            </w:r>
          </w:p>
        </w:tc>
        <w:tc>
          <w:tcPr>
            <w:tcW w:w="1112" w:type="dxa"/>
            <w:tcBorders>
              <w:bottom w:val="single" w:sz="8" w:space="0" w:color="auto"/>
            </w:tcBorders>
            <w:vAlign w:val="center"/>
          </w:tcPr>
          <w:p w:rsidR="00646A63" w:rsidRPr="00996213" w:rsidRDefault="00646A63" w:rsidP="00996213">
            <w:pPr>
              <w:jc w:val="center"/>
              <w:rPr>
                <w:rFonts w:ascii="Calibri" w:hAnsi="Calibri" w:cs="Arial"/>
                <w:bCs/>
                <w:sz w:val="18"/>
                <w:szCs w:val="22"/>
              </w:rPr>
            </w:pPr>
            <w:r w:rsidRPr="00996213">
              <w:rPr>
                <w:rFonts w:ascii="Calibri" w:hAnsi="Calibri" w:cs="Arial"/>
                <w:bCs/>
                <w:sz w:val="18"/>
                <w:szCs w:val="22"/>
              </w:rPr>
              <w:t>0,040 %</w:t>
            </w:r>
          </w:p>
        </w:tc>
      </w:tr>
    </w:tbl>
    <w:p w:rsidR="00646A63" w:rsidRDefault="00646A63" w:rsidP="00CF5B27">
      <w:pPr>
        <w:jc w:val="both"/>
        <w:rPr>
          <w:rFonts w:ascii="Arial" w:hAnsi="Arial" w:cs="Arial"/>
          <w:bCs/>
          <w:sz w:val="22"/>
          <w:szCs w:val="22"/>
        </w:rPr>
      </w:pPr>
    </w:p>
    <w:p w:rsidR="00646A63" w:rsidRDefault="00646A63" w:rsidP="00B10660">
      <w:pPr>
        <w:jc w:val="both"/>
        <w:rPr>
          <w:rFonts w:ascii="Arial" w:hAnsi="Arial" w:cs="Arial"/>
          <w:bCs/>
          <w:i/>
          <w:sz w:val="14"/>
          <w:szCs w:val="22"/>
        </w:rPr>
      </w:pPr>
      <w:r>
        <w:rPr>
          <w:rFonts w:ascii="Arial" w:hAnsi="Arial" w:cs="Arial"/>
          <w:bCs/>
          <w:sz w:val="22"/>
          <w:szCs w:val="22"/>
        </w:rPr>
        <w:t>S</w:t>
      </w:r>
      <w:r w:rsidRPr="00F57DEE">
        <w:rPr>
          <w:rFonts w:ascii="Arial" w:hAnsi="Arial" w:cs="Arial"/>
          <w:bCs/>
          <w:sz w:val="22"/>
          <w:szCs w:val="22"/>
        </w:rPr>
        <w:t>toupající trend</w:t>
      </w:r>
      <w:r>
        <w:rPr>
          <w:rFonts w:ascii="Arial" w:hAnsi="Arial" w:cs="Arial"/>
          <w:bCs/>
          <w:sz w:val="22"/>
          <w:szCs w:val="22"/>
        </w:rPr>
        <w:t xml:space="preserve"> vydaných zajišťovacích příkazů a </w:t>
      </w:r>
      <w:r w:rsidRPr="00F57DEE">
        <w:rPr>
          <w:rFonts w:ascii="Arial" w:hAnsi="Arial" w:cs="Arial"/>
          <w:bCs/>
          <w:sz w:val="22"/>
          <w:szCs w:val="22"/>
        </w:rPr>
        <w:t xml:space="preserve">dotčených daňových subjektů mezi lety 2013 a 2015 byl </w:t>
      </w:r>
      <w:r>
        <w:rPr>
          <w:rFonts w:ascii="Arial" w:hAnsi="Arial" w:cs="Arial"/>
          <w:bCs/>
          <w:sz w:val="22"/>
          <w:szCs w:val="22"/>
        </w:rPr>
        <w:t xml:space="preserve">způsoben </w:t>
      </w:r>
      <w:r w:rsidRPr="00F57DEE">
        <w:rPr>
          <w:rFonts w:ascii="Arial" w:hAnsi="Arial" w:cs="Arial"/>
          <w:bCs/>
          <w:sz w:val="22"/>
          <w:szCs w:val="22"/>
        </w:rPr>
        <w:t xml:space="preserve">novostí zajišťovacích příkazů podle </w:t>
      </w:r>
      <w:r>
        <w:rPr>
          <w:rFonts w:ascii="Arial" w:hAnsi="Arial" w:cs="Arial"/>
          <w:bCs/>
          <w:sz w:val="22"/>
          <w:szCs w:val="22"/>
        </w:rPr>
        <w:t xml:space="preserve">ZDPH (účinnost od 1. 1. 2012), </w:t>
      </w:r>
      <w:r w:rsidRPr="00F57DEE">
        <w:rPr>
          <w:rFonts w:ascii="Arial" w:hAnsi="Arial" w:cs="Arial"/>
          <w:bCs/>
          <w:sz w:val="22"/>
          <w:szCs w:val="22"/>
        </w:rPr>
        <w:t>vznikem daňové KOBRY</w:t>
      </w:r>
      <w:r>
        <w:rPr>
          <w:rStyle w:val="FootnoteReference"/>
          <w:rFonts w:ascii="Arial" w:hAnsi="Arial" w:cs="Arial"/>
          <w:bCs/>
          <w:sz w:val="22"/>
          <w:szCs w:val="22"/>
        </w:rPr>
        <w:footnoteReference w:id="1"/>
      </w:r>
      <w:r w:rsidRPr="00F57DEE">
        <w:rPr>
          <w:rFonts w:ascii="Arial" w:hAnsi="Arial" w:cs="Arial"/>
          <w:bCs/>
          <w:sz w:val="22"/>
          <w:szCs w:val="22"/>
        </w:rPr>
        <w:t>, kdy rok 2015 je rokem, kdy byly zajišťovací příkazy pro její činnost využity poprvé</w:t>
      </w:r>
      <w:r>
        <w:rPr>
          <w:rFonts w:ascii="Arial" w:hAnsi="Arial" w:cs="Arial"/>
          <w:bCs/>
          <w:sz w:val="22"/>
          <w:szCs w:val="22"/>
        </w:rPr>
        <w:t xml:space="preserve"> a n</w:t>
      </w:r>
      <w:r w:rsidRPr="00C158DE">
        <w:rPr>
          <w:rFonts w:ascii="Arial" w:hAnsi="Arial" w:cs="Arial"/>
          <w:bCs/>
          <w:sz w:val="22"/>
          <w:szCs w:val="22"/>
        </w:rPr>
        <w:t>árůst</w:t>
      </w:r>
      <w:r>
        <w:rPr>
          <w:rFonts w:ascii="Arial" w:hAnsi="Arial" w:cs="Arial"/>
          <w:bCs/>
          <w:sz w:val="22"/>
          <w:szCs w:val="22"/>
        </w:rPr>
        <w:t>em</w:t>
      </w:r>
      <w:r w:rsidRPr="00C158DE">
        <w:rPr>
          <w:rFonts w:ascii="Arial" w:hAnsi="Arial" w:cs="Arial"/>
          <w:bCs/>
          <w:sz w:val="22"/>
          <w:szCs w:val="22"/>
        </w:rPr>
        <w:t xml:space="preserve"> zajišťovacích příkazů </w:t>
      </w:r>
      <w:r>
        <w:rPr>
          <w:rFonts w:ascii="Arial" w:hAnsi="Arial" w:cs="Arial"/>
          <w:bCs/>
          <w:sz w:val="22"/>
          <w:szCs w:val="22"/>
        </w:rPr>
        <w:t>vydaných na 1 daňový subjekt</w:t>
      </w:r>
      <w:r>
        <w:rPr>
          <w:rStyle w:val="FootnoteReference"/>
          <w:rFonts w:ascii="Arial" w:hAnsi="Arial" w:cs="Arial"/>
          <w:bCs/>
          <w:sz w:val="22"/>
          <w:szCs w:val="22"/>
        </w:rPr>
        <w:footnoteReference w:id="2"/>
      </w:r>
      <w:r>
        <w:rPr>
          <w:rFonts w:ascii="Arial" w:hAnsi="Arial" w:cs="Arial"/>
          <w:bCs/>
          <w:sz w:val="22"/>
          <w:szCs w:val="22"/>
        </w:rPr>
        <w:t>. Od roku 2015 pak má</w:t>
      </w:r>
      <w:r w:rsidRPr="00F57DEE">
        <w:rPr>
          <w:rFonts w:ascii="Arial" w:hAnsi="Arial" w:cs="Arial"/>
          <w:bCs/>
          <w:sz w:val="22"/>
          <w:szCs w:val="22"/>
        </w:rPr>
        <w:t xml:space="preserve"> počet </w:t>
      </w:r>
      <w:r>
        <w:rPr>
          <w:rFonts w:ascii="Arial" w:hAnsi="Arial" w:cs="Arial"/>
          <w:bCs/>
          <w:sz w:val="22"/>
          <w:szCs w:val="22"/>
        </w:rPr>
        <w:t>dotčených daňových subjektů i</w:t>
      </w:r>
      <w:r w:rsidRPr="00F57DEE">
        <w:rPr>
          <w:rFonts w:ascii="Arial" w:hAnsi="Arial" w:cs="Arial"/>
          <w:bCs/>
          <w:sz w:val="22"/>
          <w:szCs w:val="22"/>
        </w:rPr>
        <w:t xml:space="preserve"> počet </w:t>
      </w:r>
      <w:r>
        <w:rPr>
          <w:rFonts w:ascii="Arial" w:hAnsi="Arial" w:cs="Arial"/>
          <w:bCs/>
          <w:sz w:val="22"/>
          <w:szCs w:val="22"/>
        </w:rPr>
        <w:t>vydaných zajišťovacích příkazů</w:t>
      </w:r>
      <w:r w:rsidRPr="00F57DEE">
        <w:rPr>
          <w:rFonts w:ascii="Arial" w:hAnsi="Arial" w:cs="Arial"/>
          <w:bCs/>
          <w:sz w:val="22"/>
          <w:szCs w:val="22"/>
        </w:rPr>
        <w:t xml:space="preserve"> klesající tendenci, oproti tomu </w:t>
      </w:r>
      <w:r>
        <w:rPr>
          <w:rFonts w:ascii="Arial" w:hAnsi="Arial" w:cs="Arial"/>
          <w:bCs/>
          <w:sz w:val="22"/>
          <w:szCs w:val="22"/>
        </w:rPr>
        <w:t xml:space="preserve">poměr mezi </w:t>
      </w:r>
      <w:r w:rsidRPr="00F57DEE">
        <w:rPr>
          <w:rFonts w:ascii="Arial" w:hAnsi="Arial" w:cs="Arial"/>
          <w:bCs/>
          <w:sz w:val="22"/>
          <w:szCs w:val="22"/>
        </w:rPr>
        <w:t>úhradou ze zajištění</w:t>
      </w:r>
      <w:r>
        <w:rPr>
          <w:rFonts w:ascii="Arial" w:hAnsi="Arial" w:cs="Arial"/>
          <w:bCs/>
          <w:sz w:val="22"/>
          <w:szCs w:val="22"/>
        </w:rPr>
        <w:t xml:space="preserve"> a zajištěnou částkou vykazuje</w:t>
      </w:r>
      <w:r w:rsidRPr="00F57DEE">
        <w:rPr>
          <w:rFonts w:ascii="Arial" w:hAnsi="Arial" w:cs="Arial"/>
          <w:bCs/>
          <w:sz w:val="22"/>
          <w:szCs w:val="22"/>
        </w:rPr>
        <w:t xml:space="preserve"> stoupající tendenci.</w:t>
      </w:r>
    </w:p>
    <w:p w:rsidR="00646A63" w:rsidRDefault="00646A63" w:rsidP="00CF5B27">
      <w:pPr>
        <w:jc w:val="right"/>
        <w:rPr>
          <w:rFonts w:ascii="Arial" w:hAnsi="Arial" w:cs="Arial"/>
          <w:bCs/>
          <w:i/>
          <w:sz w:val="14"/>
          <w:szCs w:val="22"/>
        </w:rPr>
      </w:pPr>
    </w:p>
    <w:p w:rsidR="00646A63" w:rsidRPr="000318F6" w:rsidRDefault="00646A63" w:rsidP="00CF5B27">
      <w:pPr>
        <w:jc w:val="right"/>
        <w:rPr>
          <w:rFonts w:ascii="Arial" w:hAnsi="Arial" w:cs="Arial"/>
          <w:bCs/>
          <w:i/>
          <w:sz w:val="14"/>
          <w:szCs w:val="22"/>
        </w:rPr>
      </w:pPr>
      <w:r>
        <w:rPr>
          <w:rFonts w:ascii="Arial" w:hAnsi="Arial" w:cs="Arial"/>
          <w:bCs/>
          <w:i/>
          <w:sz w:val="14"/>
          <w:szCs w:val="22"/>
        </w:rPr>
        <w:t>stav k 16. 8. 2017</w:t>
      </w:r>
    </w:p>
    <w:tbl>
      <w:tblPr>
        <w:tblW w:w="0" w:type="auto"/>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A0"/>
      </w:tblPr>
      <w:tblGrid>
        <w:gridCol w:w="993"/>
        <w:gridCol w:w="1615"/>
        <w:gridCol w:w="1616"/>
        <w:gridCol w:w="1616"/>
        <w:gridCol w:w="1616"/>
        <w:gridCol w:w="1616"/>
      </w:tblGrid>
      <w:tr w:rsidR="00646A63" w:rsidTr="00996213">
        <w:trPr>
          <w:trHeight w:val="516"/>
        </w:trPr>
        <w:tc>
          <w:tcPr>
            <w:tcW w:w="9072" w:type="dxa"/>
            <w:gridSpan w:val="6"/>
            <w:tcBorders>
              <w:top w:val="single" w:sz="8" w:space="0" w:color="auto"/>
            </w:tcBorders>
            <w:shd w:val="clear" w:color="auto" w:fill="D9D9D9"/>
            <w:vAlign w:val="center"/>
          </w:tcPr>
          <w:p w:rsidR="00646A63" w:rsidRPr="00996213" w:rsidRDefault="00646A63" w:rsidP="00996213">
            <w:pPr>
              <w:jc w:val="center"/>
              <w:rPr>
                <w:rFonts w:ascii="Calibri" w:hAnsi="Calibri" w:cs="Arial"/>
                <w:b/>
                <w:bCs/>
                <w:sz w:val="18"/>
                <w:szCs w:val="18"/>
              </w:rPr>
            </w:pPr>
            <w:r w:rsidRPr="00996213">
              <w:rPr>
                <w:rFonts w:ascii="Calibri" w:hAnsi="Calibri" w:cs="Arial"/>
                <w:b/>
                <w:bCs/>
                <w:sz w:val="18"/>
                <w:szCs w:val="18"/>
              </w:rPr>
              <w:t>Soudní řízení – konečný výsledek – rok odpovídá datu, kdy byla podána žaloba*</w:t>
            </w:r>
          </w:p>
        </w:tc>
      </w:tr>
      <w:tr w:rsidR="00646A63" w:rsidTr="00996213">
        <w:tc>
          <w:tcPr>
            <w:tcW w:w="993" w:type="dxa"/>
            <w:shd w:val="clear" w:color="auto" w:fill="D9D9D9"/>
            <w:vAlign w:val="center"/>
          </w:tcPr>
          <w:p w:rsidR="00646A63" w:rsidRPr="00996213" w:rsidRDefault="00646A63" w:rsidP="00996213">
            <w:pPr>
              <w:jc w:val="center"/>
              <w:rPr>
                <w:rFonts w:ascii="Calibri" w:hAnsi="Calibri" w:cs="Arial"/>
                <w:b/>
                <w:bCs/>
                <w:sz w:val="18"/>
                <w:szCs w:val="18"/>
              </w:rPr>
            </w:pPr>
            <w:r w:rsidRPr="00996213">
              <w:rPr>
                <w:rFonts w:ascii="Calibri" w:hAnsi="Calibri" w:cs="Arial"/>
                <w:b/>
                <w:bCs/>
                <w:sz w:val="18"/>
                <w:szCs w:val="18"/>
              </w:rPr>
              <w:t>Rok</w:t>
            </w:r>
          </w:p>
        </w:tc>
        <w:tc>
          <w:tcPr>
            <w:tcW w:w="1615" w:type="dxa"/>
            <w:shd w:val="clear" w:color="auto" w:fill="D9D9D9"/>
            <w:vAlign w:val="center"/>
          </w:tcPr>
          <w:p w:rsidR="00646A63" w:rsidRPr="00996213" w:rsidRDefault="00646A63" w:rsidP="00996213">
            <w:pPr>
              <w:jc w:val="center"/>
              <w:rPr>
                <w:rFonts w:ascii="Calibri" w:hAnsi="Calibri" w:cs="Arial"/>
                <w:b/>
                <w:bCs/>
                <w:sz w:val="18"/>
                <w:szCs w:val="18"/>
              </w:rPr>
            </w:pPr>
            <w:r w:rsidRPr="00996213">
              <w:rPr>
                <w:rFonts w:ascii="Calibri" w:hAnsi="Calibri" w:cs="Arial"/>
                <w:b/>
                <w:bCs/>
                <w:sz w:val="18"/>
                <w:szCs w:val="18"/>
              </w:rPr>
              <w:t>Počet podaných</w:t>
            </w:r>
          </w:p>
        </w:tc>
        <w:tc>
          <w:tcPr>
            <w:tcW w:w="1616" w:type="dxa"/>
            <w:shd w:val="clear" w:color="auto" w:fill="D9D9D9"/>
            <w:vAlign w:val="center"/>
          </w:tcPr>
          <w:p w:rsidR="00646A63" w:rsidRPr="00996213" w:rsidRDefault="00646A63" w:rsidP="00996213">
            <w:pPr>
              <w:jc w:val="center"/>
              <w:rPr>
                <w:rFonts w:ascii="Calibri" w:hAnsi="Calibri" w:cs="Arial"/>
                <w:b/>
                <w:bCs/>
                <w:sz w:val="18"/>
                <w:szCs w:val="18"/>
              </w:rPr>
            </w:pPr>
            <w:r w:rsidRPr="00996213">
              <w:rPr>
                <w:rFonts w:ascii="Calibri" w:hAnsi="Calibri" w:cs="Arial"/>
                <w:b/>
                <w:bCs/>
                <w:sz w:val="18"/>
                <w:szCs w:val="18"/>
              </w:rPr>
              <w:t>Zamítá se</w:t>
            </w:r>
          </w:p>
        </w:tc>
        <w:tc>
          <w:tcPr>
            <w:tcW w:w="1616" w:type="dxa"/>
            <w:shd w:val="clear" w:color="auto" w:fill="D9D9D9"/>
            <w:vAlign w:val="center"/>
          </w:tcPr>
          <w:p w:rsidR="00646A63" w:rsidRPr="00996213" w:rsidRDefault="00646A63" w:rsidP="00996213">
            <w:pPr>
              <w:jc w:val="center"/>
              <w:rPr>
                <w:rFonts w:ascii="Calibri" w:hAnsi="Calibri" w:cs="Arial"/>
                <w:b/>
                <w:bCs/>
                <w:sz w:val="18"/>
                <w:szCs w:val="18"/>
              </w:rPr>
            </w:pPr>
            <w:r w:rsidRPr="00996213">
              <w:rPr>
                <w:rFonts w:ascii="Calibri" w:hAnsi="Calibri" w:cs="Arial"/>
                <w:b/>
                <w:bCs/>
                <w:sz w:val="18"/>
                <w:szCs w:val="18"/>
              </w:rPr>
              <w:t>Ruší se</w:t>
            </w:r>
          </w:p>
        </w:tc>
        <w:tc>
          <w:tcPr>
            <w:tcW w:w="1616" w:type="dxa"/>
            <w:shd w:val="clear" w:color="auto" w:fill="D9D9D9"/>
            <w:vAlign w:val="center"/>
          </w:tcPr>
          <w:p w:rsidR="00646A63" w:rsidRPr="00996213" w:rsidRDefault="00646A63" w:rsidP="00996213">
            <w:pPr>
              <w:jc w:val="center"/>
              <w:rPr>
                <w:rFonts w:ascii="Calibri" w:hAnsi="Calibri" w:cs="Arial"/>
                <w:b/>
                <w:bCs/>
                <w:sz w:val="18"/>
                <w:szCs w:val="18"/>
              </w:rPr>
            </w:pPr>
            <w:r w:rsidRPr="00996213">
              <w:rPr>
                <w:rFonts w:ascii="Calibri" w:hAnsi="Calibri" w:cs="Arial"/>
                <w:b/>
                <w:bCs/>
                <w:sz w:val="18"/>
                <w:szCs w:val="18"/>
              </w:rPr>
              <w:t>Zastavuje se/odmítá se</w:t>
            </w:r>
          </w:p>
        </w:tc>
        <w:tc>
          <w:tcPr>
            <w:tcW w:w="1616" w:type="dxa"/>
            <w:shd w:val="clear" w:color="auto" w:fill="D9D9D9"/>
            <w:vAlign w:val="center"/>
          </w:tcPr>
          <w:p w:rsidR="00646A63" w:rsidRPr="00996213" w:rsidRDefault="00646A63" w:rsidP="00996213">
            <w:pPr>
              <w:jc w:val="center"/>
              <w:rPr>
                <w:rFonts w:ascii="Calibri" w:hAnsi="Calibri" w:cs="Arial"/>
                <w:b/>
                <w:bCs/>
                <w:sz w:val="18"/>
                <w:szCs w:val="18"/>
              </w:rPr>
            </w:pPr>
            <w:r w:rsidRPr="00996213">
              <w:rPr>
                <w:rFonts w:ascii="Calibri" w:hAnsi="Calibri" w:cs="Arial"/>
                <w:b/>
                <w:bCs/>
                <w:sz w:val="18"/>
                <w:szCs w:val="18"/>
              </w:rPr>
              <w:t>Dosud nerozhodnuto</w:t>
            </w:r>
          </w:p>
        </w:tc>
      </w:tr>
      <w:tr w:rsidR="00646A63" w:rsidTr="00996213">
        <w:tc>
          <w:tcPr>
            <w:tcW w:w="993" w:type="dxa"/>
            <w:shd w:val="clear" w:color="auto" w:fill="D9D9D9"/>
            <w:vAlign w:val="center"/>
          </w:tcPr>
          <w:p w:rsidR="00646A63" w:rsidRPr="00996213" w:rsidRDefault="00646A63" w:rsidP="00996213">
            <w:pPr>
              <w:jc w:val="right"/>
              <w:rPr>
                <w:rFonts w:ascii="Calibri" w:hAnsi="Calibri" w:cs="Arial"/>
                <w:b/>
                <w:bCs/>
                <w:sz w:val="18"/>
                <w:szCs w:val="18"/>
              </w:rPr>
            </w:pPr>
            <w:r w:rsidRPr="00996213">
              <w:rPr>
                <w:rFonts w:ascii="Calibri" w:hAnsi="Calibri" w:cs="Arial"/>
                <w:b/>
                <w:bCs/>
                <w:sz w:val="18"/>
                <w:szCs w:val="18"/>
              </w:rPr>
              <w:t>2010</w:t>
            </w:r>
          </w:p>
        </w:tc>
        <w:tc>
          <w:tcPr>
            <w:tcW w:w="1615"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4</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2</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1</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1</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0</w:t>
            </w:r>
          </w:p>
        </w:tc>
      </w:tr>
      <w:tr w:rsidR="00646A63" w:rsidTr="00996213">
        <w:tc>
          <w:tcPr>
            <w:tcW w:w="993" w:type="dxa"/>
            <w:shd w:val="clear" w:color="auto" w:fill="D9D9D9"/>
            <w:vAlign w:val="center"/>
          </w:tcPr>
          <w:p w:rsidR="00646A63" w:rsidRPr="00996213" w:rsidRDefault="00646A63" w:rsidP="00996213">
            <w:pPr>
              <w:jc w:val="right"/>
              <w:rPr>
                <w:rFonts w:ascii="Calibri" w:hAnsi="Calibri" w:cs="Arial"/>
                <w:b/>
                <w:bCs/>
                <w:sz w:val="18"/>
                <w:szCs w:val="18"/>
              </w:rPr>
            </w:pPr>
            <w:r w:rsidRPr="00996213">
              <w:rPr>
                <w:rFonts w:ascii="Calibri" w:hAnsi="Calibri" w:cs="Arial"/>
                <w:b/>
                <w:bCs/>
                <w:sz w:val="18"/>
                <w:szCs w:val="18"/>
              </w:rPr>
              <w:t>2011</w:t>
            </w:r>
          </w:p>
        </w:tc>
        <w:tc>
          <w:tcPr>
            <w:tcW w:w="1615"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0</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0</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0</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0</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0</w:t>
            </w:r>
          </w:p>
        </w:tc>
      </w:tr>
      <w:tr w:rsidR="00646A63" w:rsidTr="00996213">
        <w:tc>
          <w:tcPr>
            <w:tcW w:w="993" w:type="dxa"/>
            <w:shd w:val="clear" w:color="auto" w:fill="D9D9D9"/>
            <w:vAlign w:val="center"/>
          </w:tcPr>
          <w:p w:rsidR="00646A63" w:rsidRPr="00996213" w:rsidRDefault="00646A63" w:rsidP="00996213">
            <w:pPr>
              <w:jc w:val="right"/>
              <w:rPr>
                <w:rFonts w:ascii="Calibri" w:hAnsi="Calibri" w:cs="Arial"/>
                <w:b/>
                <w:bCs/>
                <w:sz w:val="18"/>
                <w:szCs w:val="18"/>
              </w:rPr>
            </w:pPr>
            <w:r w:rsidRPr="00996213">
              <w:rPr>
                <w:rFonts w:ascii="Calibri" w:hAnsi="Calibri" w:cs="Arial"/>
                <w:b/>
                <w:bCs/>
                <w:sz w:val="18"/>
                <w:szCs w:val="18"/>
              </w:rPr>
              <w:t>2012</w:t>
            </w:r>
          </w:p>
        </w:tc>
        <w:tc>
          <w:tcPr>
            <w:tcW w:w="1615"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17</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15</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0</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1</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1</w:t>
            </w:r>
          </w:p>
        </w:tc>
      </w:tr>
      <w:tr w:rsidR="00646A63" w:rsidTr="00996213">
        <w:tc>
          <w:tcPr>
            <w:tcW w:w="993" w:type="dxa"/>
            <w:shd w:val="clear" w:color="auto" w:fill="D9D9D9"/>
            <w:vAlign w:val="center"/>
          </w:tcPr>
          <w:p w:rsidR="00646A63" w:rsidRPr="00996213" w:rsidRDefault="00646A63" w:rsidP="00996213">
            <w:pPr>
              <w:jc w:val="right"/>
              <w:rPr>
                <w:rFonts w:ascii="Calibri" w:hAnsi="Calibri" w:cs="Arial"/>
                <w:b/>
                <w:bCs/>
                <w:sz w:val="18"/>
                <w:szCs w:val="18"/>
              </w:rPr>
            </w:pPr>
            <w:r w:rsidRPr="00996213">
              <w:rPr>
                <w:rFonts w:ascii="Calibri" w:hAnsi="Calibri" w:cs="Arial"/>
                <w:b/>
                <w:bCs/>
                <w:sz w:val="18"/>
                <w:szCs w:val="18"/>
              </w:rPr>
              <w:t>2013</w:t>
            </w:r>
          </w:p>
        </w:tc>
        <w:tc>
          <w:tcPr>
            <w:tcW w:w="1615"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19</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15</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1</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0</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3</w:t>
            </w:r>
          </w:p>
        </w:tc>
      </w:tr>
      <w:tr w:rsidR="00646A63" w:rsidTr="00996213">
        <w:tc>
          <w:tcPr>
            <w:tcW w:w="993" w:type="dxa"/>
            <w:shd w:val="clear" w:color="auto" w:fill="D9D9D9"/>
            <w:vAlign w:val="center"/>
          </w:tcPr>
          <w:p w:rsidR="00646A63" w:rsidRPr="00996213" w:rsidRDefault="00646A63" w:rsidP="00996213">
            <w:pPr>
              <w:jc w:val="right"/>
              <w:rPr>
                <w:rFonts w:ascii="Calibri" w:hAnsi="Calibri" w:cs="Arial"/>
                <w:b/>
                <w:bCs/>
                <w:sz w:val="18"/>
                <w:szCs w:val="18"/>
              </w:rPr>
            </w:pPr>
            <w:r w:rsidRPr="00996213">
              <w:rPr>
                <w:rFonts w:ascii="Calibri" w:hAnsi="Calibri" w:cs="Arial"/>
                <w:b/>
                <w:bCs/>
                <w:sz w:val="18"/>
                <w:szCs w:val="18"/>
              </w:rPr>
              <w:t>2014</w:t>
            </w:r>
          </w:p>
        </w:tc>
        <w:tc>
          <w:tcPr>
            <w:tcW w:w="1615"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20</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11</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5</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0</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4</w:t>
            </w:r>
          </w:p>
        </w:tc>
      </w:tr>
      <w:tr w:rsidR="00646A63" w:rsidTr="00996213">
        <w:tc>
          <w:tcPr>
            <w:tcW w:w="993" w:type="dxa"/>
            <w:shd w:val="clear" w:color="auto" w:fill="D9D9D9"/>
            <w:vAlign w:val="center"/>
          </w:tcPr>
          <w:p w:rsidR="00646A63" w:rsidRPr="00996213" w:rsidRDefault="00646A63" w:rsidP="00996213">
            <w:pPr>
              <w:jc w:val="right"/>
              <w:rPr>
                <w:rFonts w:ascii="Calibri" w:hAnsi="Calibri" w:cs="Arial"/>
                <w:b/>
                <w:bCs/>
                <w:sz w:val="18"/>
                <w:szCs w:val="18"/>
              </w:rPr>
            </w:pPr>
            <w:r w:rsidRPr="00996213">
              <w:rPr>
                <w:rFonts w:ascii="Calibri" w:hAnsi="Calibri" w:cs="Arial"/>
                <w:b/>
                <w:bCs/>
                <w:sz w:val="18"/>
                <w:szCs w:val="18"/>
              </w:rPr>
              <w:t>2015</w:t>
            </w:r>
          </w:p>
        </w:tc>
        <w:tc>
          <w:tcPr>
            <w:tcW w:w="1615"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39</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7</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10</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1</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21</w:t>
            </w:r>
          </w:p>
        </w:tc>
      </w:tr>
      <w:tr w:rsidR="00646A63" w:rsidTr="00996213">
        <w:tc>
          <w:tcPr>
            <w:tcW w:w="993" w:type="dxa"/>
            <w:shd w:val="clear" w:color="auto" w:fill="D9D9D9"/>
            <w:vAlign w:val="center"/>
          </w:tcPr>
          <w:p w:rsidR="00646A63" w:rsidRPr="00996213" w:rsidRDefault="00646A63" w:rsidP="00996213">
            <w:pPr>
              <w:jc w:val="right"/>
              <w:rPr>
                <w:rFonts w:ascii="Calibri" w:hAnsi="Calibri" w:cs="Arial"/>
                <w:b/>
                <w:bCs/>
                <w:sz w:val="18"/>
                <w:szCs w:val="18"/>
              </w:rPr>
            </w:pPr>
            <w:r w:rsidRPr="00996213">
              <w:rPr>
                <w:rFonts w:ascii="Calibri" w:hAnsi="Calibri" w:cs="Arial"/>
                <w:b/>
                <w:bCs/>
                <w:sz w:val="18"/>
                <w:szCs w:val="18"/>
              </w:rPr>
              <w:t>2016</w:t>
            </w:r>
          </w:p>
        </w:tc>
        <w:tc>
          <w:tcPr>
            <w:tcW w:w="1615"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52</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1</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2</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1</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48</w:t>
            </w:r>
          </w:p>
        </w:tc>
      </w:tr>
      <w:tr w:rsidR="00646A63" w:rsidTr="00996213">
        <w:tc>
          <w:tcPr>
            <w:tcW w:w="993" w:type="dxa"/>
            <w:shd w:val="clear" w:color="auto" w:fill="D9D9D9"/>
            <w:vAlign w:val="center"/>
          </w:tcPr>
          <w:p w:rsidR="00646A63" w:rsidRPr="00996213" w:rsidRDefault="00646A63" w:rsidP="00996213">
            <w:pPr>
              <w:jc w:val="right"/>
              <w:rPr>
                <w:rFonts w:ascii="Calibri" w:hAnsi="Calibri" w:cs="Arial"/>
                <w:b/>
                <w:bCs/>
                <w:sz w:val="18"/>
                <w:szCs w:val="18"/>
              </w:rPr>
            </w:pPr>
            <w:r w:rsidRPr="00996213">
              <w:rPr>
                <w:rFonts w:ascii="Calibri" w:hAnsi="Calibri" w:cs="Arial"/>
                <w:b/>
                <w:bCs/>
                <w:sz w:val="18"/>
                <w:szCs w:val="18"/>
              </w:rPr>
              <w:t>2017</w:t>
            </w:r>
          </w:p>
        </w:tc>
        <w:tc>
          <w:tcPr>
            <w:tcW w:w="1615"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35</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0</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0</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0</w:t>
            </w:r>
          </w:p>
        </w:tc>
        <w:tc>
          <w:tcPr>
            <w:tcW w:w="1616" w:type="dxa"/>
            <w:vAlign w:val="center"/>
          </w:tcPr>
          <w:p w:rsidR="00646A63" w:rsidRPr="00996213" w:rsidRDefault="00646A63" w:rsidP="00996213">
            <w:pPr>
              <w:jc w:val="center"/>
              <w:rPr>
                <w:rFonts w:ascii="Calibri" w:hAnsi="Calibri" w:cs="Arial"/>
                <w:bCs/>
                <w:sz w:val="18"/>
                <w:szCs w:val="18"/>
              </w:rPr>
            </w:pPr>
            <w:r w:rsidRPr="00996213">
              <w:rPr>
                <w:rFonts w:ascii="Calibri" w:hAnsi="Calibri" w:cs="Arial"/>
                <w:bCs/>
                <w:sz w:val="18"/>
                <w:szCs w:val="18"/>
              </w:rPr>
              <w:t>35</w:t>
            </w:r>
          </w:p>
        </w:tc>
      </w:tr>
      <w:tr w:rsidR="00646A63" w:rsidTr="00996213">
        <w:tc>
          <w:tcPr>
            <w:tcW w:w="993" w:type="dxa"/>
            <w:tcBorders>
              <w:bottom w:val="single" w:sz="8" w:space="0" w:color="auto"/>
            </w:tcBorders>
            <w:shd w:val="clear" w:color="auto" w:fill="D9D9D9"/>
            <w:vAlign w:val="center"/>
          </w:tcPr>
          <w:p w:rsidR="00646A63" w:rsidRPr="00996213" w:rsidRDefault="00646A63" w:rsidP="00996213">
            <w:pPr>
              <w:jc w:val="right"/>
              <w:rPr>
                <w:rFonts w:ascii="Calibri" w:hAnsi="Calibri" w:cs="Arial"/>
                <w:b/>
                <w:bCs/>
                <w:sz w:val="18"/>
                <w:szCs w:val="18"/>
              </w:rPr>
            </w:pPr>
            <w:r w:rsidRPr="00996213">
              <w:rPr>
                <w:rFonts w:ascii="Calibri" w:hAnsi="Calibri" w:cs="Arial"/>
                <w:b/>
                <w:bCs/>
                <w:sz w:val="18"/>
                <w:szCs w:val="18"/>
              </w:rPr>
              <w:t>Celkem</w:t>
            </w:r>
          </w:p>
        </w:tc>
        <w:tc>
          <w:tcPr>
            <w:tcW w:w="1615" w:type="dxa"/>
            <w:tcBorders>
              <w:bottom w:val="single" w:sz="8" w:space="0" w:color="auto"/>
            </w:tcBorders>
            <w:vAlign w:val="center"/>
          </w:tcPr>
          <w:p w:rsidR="00646A63" w:rsidRPr="00996213" w:rsidRDefault="00646A63" w:rsidP="00996213">
            <w:pPr>
              <w:jc w:val="center"/>
              <w:rPr>
                <w:rFonts w:ascii="Calibri" w:hAnsi="Calibri" w:cs="Arial"/>
                <w:b/>
                <w:bCs/>
                <w:sz w:val="18"/>
                <w:szCs w:val="18"/>
              </w:rPr>
            </w:pPr>
            <w:r w:rsidRPr="00996213">
              <w:rPr>
                <w:rFonts w:ascii="Calibri" w:hAnsi="Calibri" w:cs="Arial"/>
                <w:b/>
                <w:bCs/>
                <w:sz w:val="18"/>
                <w:szCs w:val="18"/>
              </w:rPr>
              <w:t>186</w:t>
            </w:r>
          </w:p>
        </w:tc>
        <w:tc>
          <w:tcPr>
            <w:tcW w:w="1616" w:type="dxa"/>
            <w:tcBorders>
              <w:bottom w:val="single" w:sz="8" w:space="0" w:color="auto"/>
            </w:tcBorders>
            <w:vAlign w:val="center"/>
          </w:tcPr>
          <w:p w:rsidR="00646A63" w:rsidRPr="00996213" w:rsidRDefault="00646A63" w:rsidP="00996213">
            <w:pPr>
              <w:jc w:val="center"/>
              <w:rPr>
                <w:rFonts w:ascii="Calibri" w:hAnsi="Calibri" w:cs="Arial"/>
                <w:b/>
                <w:bCs/>
                <w:sz w:val="18"/>
                <w:szCs w:val="18"/>
              </w:rPr>
            </w:pPr>
            <w:r w:rsidRPr="00996213">
              <w:rPr>
                <w:rFonts w:ascii="Calibri" w:hAnsi="Calibri" w:cs="Arial"/>
                <w:b/>
                <w:bCs/>
                <w:sz w:val="18"/>
                <w:szCs w:val="18"/>
              </w:rPr>
              <w:t>51</w:t>
            </w:r>
          </w:p>
        </w:tc>
        <w:tc>
          <w:tcPr>
            <w:tcW w:w="1616" w:type="dxa"/>
            <w:tcBorders>
              <w:bottom w:val="single" w:sz="8" w:space="0" w:color="auto"/>
            </w:tcBorders>
            <w:vAlign w:val="center"/>
          </w:tcPr>
          <w:p w:rsidR="00646A63" w:rsidRPr="00996213" w:rsidRDefault="00646A63" w:rsidP="00996213">
            <w:pPr>
              <w:jc w:val="center"/>
              <w:rPr>
                <w:rFonts w:ascii="Calibri" w:hAnsi="Calibri" w:cs="Arial"/>
                <w:b/>
                <w:bCs/>
                <w:sz w:val="18"/>
                <w:szCs w:val="18"/>
              </w:rPr>
            </w:pPr>
            <w:r w:rsidRPr="00996213">
              <w:rPr>
                <w:rFonts w:ascii="Calibri" w:hAnsi="Calibri" w:cs="Arial"/>
                <w:b/>
                <w:bCs/>
                <w:sz w:val="18"/>
                <w:szCs w:val="18"/>
              </w:rPr>
              <w:t>19</w:t>
            </w:r>
          </w:p>
        </w:tc>
        <w:tc>
          <w:tcPr>
            <w:tcW w:w="1616" w:type="dxa"/>
            <w:tcBorders>
              <w:bottom w:val="single" w:sz="8" w:space="0" w:color="auto"/>
            </w:tcBorders>
            <w:vAlign w:val="center"/>
          </w:tcPr>
          <w:p w:rsidR="00646A63" w:rsidRPr="00996213" w:rsidRDefault="00646A63" w:rsidP="00996213">
            <w:pPr>
              <w:jc w:val="center"/>
              <w:rPr>
                <w:rFonts w:ascii="Calibri" w:hAnsi="Calibri" w:cs="Arial"/>
                <w:b/>
                <w:bCs/>
                <w:sz w:val="18"/>
                <w:szCs w:val="18"/>
              </w:rPr>
            </w:pPr>
            <w:r w:rsidRPr="00996213">
              <w:rPr>
                <w:rFonts w:ascii="Calibri" w:hAnsi="Calibri" w:cs="Arial"/>
                <w:b/>
                <w:bCs/>
                <w:sz w:val="18"/>
                <w:szCs w:val="18"/>
              </w:rPr>
              <w:t>4</w:t>
            </w:r>
          </w:p>
        </w:tc>
        <w:tc>
          <w:tcPr>
            <w:tcW w:w="1616" w:type="dxa"/>
            <w:tcBorders>
              <w:bottom w:val="single" w:sz="8" w:space="0" w:color="auto"/>
            </w:tcBorders>
            <w:vAlign w:val="center"/>
          </w:tcPr>
          <w:p w:rsidR="00646A63" w:rsidRPr="00996213" w:rsidRDefault="00646A63" w:rsidP="00996213">
            <w:pPr>
              <w:jc w:val="center"/>
              <w:rPr>
                <w:rFonts w:ascii="Calibri" w:hAnsi="Calibri" w:cs="Arial"/>
                <w:b/>
                <w:bCs/>
                <w:sz w:val="18"/>
                <w:szCs w:val="18"/>
              </w:rPr>
            </w:pPr>
            <w:r w:rsidRPr="00996213">
              <w:rPr>
                <w:rFonts w:ascii="Calibri" w:hAnsi="Calibri" w:cs="Arial"/>
                <w:b/>
                <w:bCs/>
                <w:sz w:val="18"/>
                <w:szCs w:val="18"/>
              </w:rPr>
              <w:t>112</w:t>
            </w:r>
          </w:p>
        </w:tc>
      </w:tr>
    </w:tbl>
    <w:p w:rsidR="00646A63" w:rsidRDefault="00646A63" w:rsidP="00CF5B27">
      <w:pPr>
        <w:jc w:val="both"/>
        <w:rPr>
          <w:rFonts w:ascii="Arial" w:hAnsi="Arial" w:cs="Arial"/>
          <w:bCs/>
          <w:sz w:val="22"/>
          <w:szCs w:val="22"/>
        </w:rPr>
      </w:pPr>
      <w:r>
        <w:rPr>
          <w:rFonts w:ascii="Arial" w:hAnsi="Arial" w:cs="Arial"/>
          <w:bCs/>
          <w:sz w:val="22"/>
          <w:szCs w:val="22"/>
        </w:rPr>
        <w:t xml:space="preserve">* </w:t>
      </w:r>
      <w:r w:rsidRPr="000318F6">
        <w:rPr>
          <w:rFonts w:ascii="Arial" w:hAnsi="Arial" w:cs="Arial"/>
          <w:bCs/>
          <w:i/>
          <w:sz w:val="16"/>
          <w:szCs w:val="22"/>
        </w:rPr>
        <w:t>Soudním řízením</w:t>
      </w:r>
      <w:r w:rsidRPr="000318F6">
        <w:rPr>
          <w:rFonts w:ascii="Arial" w:hAnsi="Arial" w:cs="Arial"/>
          <w:bCs/>
          <w:sz w:val="16"/>
          <w:szCs w:val="22"/>
        </w:rPr>
        <w:t xml:space="preserve"> je jednotlivé řízení identifikované spisovou značkou krajského soudu. </w:t>
      </w:r>
      <w:r w:rsidRPr="000318F6">
        <w:rPr>
          <w:rFonts w:ascii="Arial" w:hAnsi="Arial" w:cs="Arial"/>
          <w:bCs/>
          <w:i/>
          <w:sz w:val="16"/>
          <w:szCs w:val="22"/>
        </w:rPr>
        <w:t>Konečným výsledkem</w:t>
      </w:r>
      <w:r w:rsidRPr="000318F6">
        <w:rPr>
          <w:rFonts w:ascii="Arial" w:hAnsi="Arial" w:cs="Arial"/>
          <w:bCs/>
          <w:sz w:val="16"/>
          <w:szCs w:val="22"/>
        </w:rPr>
        <w:t xml:space="preserve"> je myšlen aktuální stav soudních řízení ke dni aktualizace.</w:t>
      </w:r>
      <w:r>
        <w:rPr>
          <w:rFonts w:ascii="Arial" w:hAnsi="Arial" w:cs="Arial"/>
          <w:bCs/>
          <w:sz w:val="16"/>
          <w:szCs w:val="22"/>
        </w:rPr>
        <w:t xml:space="preserve"> </w:t>
      </w:r>
    </w:p>
    <w:p w:rsidR="00646A63" w:rsidRDefault="00646A63" w:rsidP="00933B15">
      <w:pPr>
        <w:jc w:val="both"/>
        <w:rPr>
          <w:rFonts w:ascii="Arial" w:hAnsi="Arial" w:cs="Arial"/>
          <w:bCs/>
          <w:sz w:val="22"/>
          <w:szCs w:val="22"/>
        </w:rPr>
      </w:pPr>
    </w:p>
    <w:p w:rsidR="00646A63" w:rsidRDefault="00646A63" w:rsidP="00167B4E">
      <w:pPr>
        <w:jc w:val="both"/>
        <w:rPr>
          <w:rFonts w:ascii="Arial" w:hAnsi="Arial" w:cs="Arial"/>
          <w:bCs/>
          <w:sz w:val="22"/>
          <w:szCs w:val="22"/>
        </w:rPr>
      </w:pPr>
      <w:r>
        <w:rPr>
          <w:rFonts w:ascii="Arial" w:hAnsi="Arial" w:cs="Arial"/>
          <w:bCs/>
          <w:sz w:val="22"/>
          <w:szCs w:val="22"/>
        </w:rPr>
        <w:t>Ke dni 16. 8. 2017</w:t>
      </w:r>
      <w:r w:rsidRPr="00F57DEE">
        <w:rPr>
          <w:rFonts w:ascii="Arial" w:hAnsi="Arial" w:cs="Arial"/>
          <w:bCs/>
          <w:sz w:val="22"/>
          <w:szCs w:val="22"/>
        </w:rPr>
        <w:t xml:space="preserve"> bylo </w:t>
      </w:r>
      <w:r>
        <w:rPr>
          <w:rFonts w:ascii="Arial" w:hAnsi="Arial" w:cs="Arial"/>
          <w:bCs/>
          <w:sz w:val="22"/>
          <w:szCs w:val="22"/>
        </w:rPr>
        <w:t xml:space="preserve">ve věci zajišťovacích příkazů </w:t>
      </w:r>
      <w:r w:rsidRPr="00F57DEE">
        <w:rPr>
          <w:rFonts w:ascii="Arial" w:hAnsi="Arial" w:cs="Arial"/>
          <w:bCs/>
          <w:sz w:val="22"/>
          <w:szCs w:val="22"/>
        </w:rPr>
        <w:t xml:space="preserve">podáno 186 žalob, </w:t>
      </w:r>
      <w:r>
        <w:rPr>
          <w:rFonts w:ascii="Arial" w:hAnsi="Arial" w:cs="Arial"/>
          <w:bCs/>
          <w:sz w:val="22"/>
          <w:szCs w:val="22"/>
        </w:rPr>
        <w:t>správní soudy rozhodly v 74 případech a ke</w:t>
      </w:r>
      <w:r w:rsidRPr="00F57DEE">
        <w:rPr>
          <w:rFonts w:ascii="Arial" w:hAnsi="Arial" w:cs="Arial"/>
          <w:bCs/>
          <w:sz w:val="22"/>
          <w:szCs w:val="22"/>
        </w:rPr>
        <w:t> zrušení rozhodnutí Finanč</w:t>
      </w:r>
      <w:r>
        <w:rPr>
          <w:rFonts w:ascii="Arial" w:hAnsi="Arial" w:cs="Arial"/>
          <w:bCs/>
          <w:sz w:val="22"/>
          <w:szCs w:val="22"/>
        </w:rPr>
        <w:t>ní správy došlo v 25 % případů, s tím, že v řadě</w:t>
      </w:r>
      <w:r w:rsidRPr="00F57DEE">
        <w:rPr>
          <w:rFonts w:ascii="Arial" w:hAnsi="Arial" w:cs="Arial"/>
          <w:bCs/>
          <w:sz w:val="22"/>
          <w:szCs w:val="22"/>
        </w:rPr>
        <w:t xml:space="preserve"> případ</w:t>
      </w:r>
      <w:r>
        <w:rPr>
          <w:rFonts w:ascii="Arial" w:hAnsi="Arial" w:cs="Arial"/>
          <w:bCs/>
          <w:sz w:val="22"/>
          <w:szCs w:val="22"/>
        </w:rPr>
        <w:t>ů nebyl zrušen vydaný zajišťovací příkaz, ale rozhodnutí o odvolání. Odvolací finanční ředitelství rozhodovalo o podaném odvolání znovu, vázáno právním názorem správního soudu</w:t>
      </w:r>
      <w:r w:rsidRPr="00F57DEE">
        <w:rPr>
          <w:rFonts w:ascii="Arial" w:hAnsi="Arial" w:cs="Arial"/>
          <w:bCs/>
          <w:sz w:val="22"/>
          <w:szCs w:val="22"/>
        </w:rPr>
        <w:t>. Finanční správa s konečnou platn</w:t>
      </w:r>
      <w:r>
        <w:rPr>
          <w:rFonts w:ascii="Arial" w:hAnsi="Arial" w:cs="Arial"/>
          <w:bCs/>
          <w:sz w:val="22"/>
          <w:szCs w:val="22"/>
        </w:rPr>
        <w:t>ostí neuspěla v 7 řízeních (u 6 </w:t>
      </w:r>
      <w:r w:rsidRPr="00F57DEE">
        <w:rPr>
          <w:rFonts w:ascii="Arial" w:hAnsi="Arial" w:cs="Arial"/>
          <w:bCs/>
          <w:sz w:val="22"/>
          <w:szCs w:val="22"/>
        </w:rPr>
        <w:t xml:space="preserve">daňových subjektů), což představuje 3,7 % všech soudních řízení, resp. 9,4 % všech </w:t>
      </w:r>
      <w:r w:rsidRPr="00FA1078">
        <w:rPr>
          <w:rFonts w:ascii="Arial" w:hAnsi="Arial" w:cs="Arial"/>
          <w:bCs/>
          <w:sz w:val="22"/>
          <w:szCs w:val="22"/>
        </w:rPr>
        <w:t>dosud rozhodnutých soudních řízení.</w:t>
      </w:r>
    </w:p>
    <w:p w:rsidR="00646A63" w:rsidRDefault="00646A63" w:rsidP="00933B15">
      <w:pPr>
        <w:jc w:val="both"/>
        <w:rPr>
          <w:rFonts w:ascii="Arial" w:hAnsi="Arial" w:cs="Arial"/>
          <w:bCs/>
          <w:sz w:val="22"/>
          <w:szCs w:val="22"/>
        </w:rPr>
      </w:pPr>
    </w:p>
    <w:p w:rsidR="00646A63" w:rsidRPr="00381FDB" w:rsidRDefault="00646A63" w:rsidP="00AB4B22">
      <w:pPr>
        <w:jc w:val="both"/>
        <w:rPr>
          <w:rFonts w:ascii="Arial" w:hAnsi="Arial" w:cs="Arial"/>
          <w:b/>
          <w:bCs/>
          <w:sz w:val="22"/>
          <w:szCs w:val="22"/>
        </w:rPr>
      </w:pPr>
      <w:r w:rsidRPr="00381FDB">
        <w:rPr>
          <w:rFonts w:ascii="Arial" w:hAnsi="Arial" w:cs="Arial"/>
          <w:b/>
          <w:bCs/>
          <w:sz w:val="22"/>
          <w:szCs w:val="22"/>
        </w:rPr>
        <w:t xml:space="preserve">Metodický pokyn k postupu </w:t>
      </w:r>
      <w:r>
        <w:rPr>
          <w:rFonts w:ascii="Arial" w:hAnsi="Arial" w:cs="Arial"/>
          <w:b/>
          <w:bCs/>
          <w:sz w:val="22"/>
          <w:szCs w:val="22"/>
        </w:rPr>
        <w:t>správce daně</w:t>
      </w:r>
      <w:r w:rsidRPr="00381FDB">
        <w:rPr>
          <w:rFonts w:ascii="Arial" w:hAnsi="Arial" w:cs="Arial"/>
          <w:b/>
          <w:bCs/>
          <w:sz w:val="22"/>
          <w:szCs w:val="22"/>
        </w:rPr>
        <w:t xml:space="preserve"> při vydávání zajišťovacích příkazů</w:t>
      </w:r>
    </w:p>
    <w:p w:rsidR="00646A63" w:rsidRDefault="00646A63" w:rsidP="00FA1078">
      <w:pPr>
        <w:pStyle w:val="NoSpacing"/>
      </w:pPr>
    </w:p>
    <w:p w:rsidR="00646A63" w:rsidRDefault="00646A63" w:rsidP="00FA1078">
      <w:pPr>
        <w:pStyle w:val="NoSpacing"/>
        <w:jc w:val="both"/>
      </w:pPr>
      <w:r w:rsidRPr="00FA1078">
        <w:rPr>
          <w:rFonts w:ascii="Arial" w:hAnsi="Arial" w:cs="Arial"/>
          <w:bCs/>
          <w:sz w:val="22"/>
          <w:szCs w:val="22"/>
        </w:rPr>
        <w:t>Nový metodický pokyn, jenž navazuje na metodické pokyny z let 2011, 2015 a 2016, vydala Finanční správa dne 1. 11. 2017 a jeho působnost dopadá na všechny druhy daní, včetně odvodu za porušení rozpočtové kázně. Do metodického pokynu byla promítnuta aktuální judikatura správních soudů, poznatky z aplikační praxe Finanční správy a zjištění z provedených operativně-strategických dohlídek, které provedlo Generální finanční ředitelství v srpnu roku 2017 u všech finančních úřadů a Odvolacího finančního ředitelství</w:t>
      </w:r>
      <w:r>
        <w:rPr>
          <w:rStyle w:val="FootnoteReference"/>
          <w:rFonts w:ascii="Arial" w:hAnsi="Arial" w:cs="Arial"/>
          <w:bCs/>
          <w:sz w:val="22"/>
          <w:szCs w:val="22"/>
        </w:rPr>
        <w:footnoteReference w:id="3"/>
      </w:r>
      <w:r>
        <w:t>.</w:t>
      </w:r>
    </w:p>
    <w:p w:rsidR="00646A63" w:rsidRPr="00381FDB" w:rsidRDefault="00646A63" w:rsidP="00FA1078">
      <w:pPr>
        <w:pStyle w:val="NoSpacing"/>
        <w:jc w:val="both"/>
      </w:pPr>
    </w:p>
    <w:p w:rsidR="00646A63" w:rsidRPr="00FA1078" w:rsidRDefault="00646A63" w:rsidP="00FA1078">
      <w:pPr>
        <w:pStyle w:val="NoSpacing"/>
        <w:jc w:val="both"/>
        <w:rPr>
          <w:rFonts w:ascii="Arial" w:hAnsi="Arial" w:cs="Arial"/>
          <w:bCs/>
          <w:sz w:val="22"/>
          <w:szCs w:val="22"/>
        </w:rPr>
      </w:pPr>
      <w:r w:rsidRPr="00FA1078">
        <w:rPr>
          <w:rFonts w:ascii="Arial" w:hAnsi="Arial" w:cs="Arial"/>
          <w:bCs/>
          <w:sz w:val="22"/>
          <w:szCs w:val="22"/>
        </w:rPr>
        <w:t>Metodický pokyn stanovuje minimální požadavky na odůvodnění zajišťovacího příkazu, definuje hrozící nebezpečí z prodlení, vymezuje odpovědnost a spolupráci jednotlivých útvarů v rámci orgánů Finanční správy při vydání zajišťovacích příkazů, a organizační postavení a úlohu pracovní skupiny k zajišťovacím příkazům. Dále je metodickým pokynem upraveno předávání podkladů k vydání zajišťovacího příkazu při výkonu vybrané působnosti dle zák. č. 456/2011 Sb., o Finanční správě České republiky, ve znění pozdějších předpisů (dále jen „zákon o Finanční správě“), a postup správce daně po vydání zajišťovacího příkazu spočívající v akcentu na zásadu přiměřenosti a součinnosti včetně intenzivnější komunikace mezi dotčeným daňovým subjektem a správcem daně, kdy v odůvodněných případech správce daně využije méně invazivních nástrojů než nařízení daňové exekuce (zřízení zástavního práva k majetku daňového subjektu nebo třetí osoby, ručení třetí osoby, finanční záruky), aby nedocházelo k nežádoucímu utlumení podnikatelské činnosti dotčeného daňového subjektu a zároveň nebyl exekvovatelný majetek vyveden mimo dosah správce daně.</w:t>
      </w:r>
    </w:p>
    <w:p w:rsidR="00646A63" w:rsidRDefault="00646A63" w:rsidP="00AB4B22">
      <w:pPr>
        <w:jc w:val="both"/>
        <w:rPr>
          <w:rFonts w:ascii="Arial" w:hAnsi="Arial" w:cs="Arial"/>
          <w:bCs/>
          <w:sz w:val="22"/>
          <w:szCs w:val="22"/>
        </w:rPr>
      </w:pPr>
    </w:p>
    <w:p w:rsidR="00646A63" w:rsidRPr="00311FEF" w:rsidRDefault="00646A63" w:rsidP="00AB4B22">
      <w:pPr>
        <w:jc w:val="both"/>
        <w:rPr>
          <w:rFonts w:ascii="Arial" w:hAnsi="Arial" w:cs="Arial"/>
          <w:b/>
          <w:bCs/>
          <w:sz w:val="22"/>
          <w:szCs w:val="22"/>
        </w:rPr>
      </w:pPr>
      <w:r w:rsidRPr="00311FEF">
        <w:rPr>
          <w:rFonts w:ascii="Arial" w:hAnsi="Arial" w:cs="Arial"/>
          <w:b/>
          <w:bCs/>
          <w:sz w:val="22"/>
          <w:szCs w:val="22"/>
        </w:rPr>
        <w:t>Daňová mlčenlivost Finanční správy</w:t>
      </w:r>
    </w:p>
    <w:p w:rsidR="00646A63" w:rsidRDefault="00646A63" w:rsidP="00AB4B22">
      <w:pPr>
        <w:jc w:val="both"/>
        <w:rPr>
          <w:rFonts w:ascii="Arial" w:hAnsi="Arial" w:cs="Arial"/>
          <w:bCs/>
          <w:sz w:val="22"/>
          <w:szCs w:val="22"/>
        </w:rPr>
      </w:pPr>
    </w:p>
    <w:p w:rsidR="00646A63" w:rsidRDefault="00646A63" w:rsidP="00167B4E">
      <w:pPr>
        <w:pStyle w:val="NoSpacing"/>
        <w:jc w:val="both"/>
        <w:rPr>
          <w:rFonts w:ascii="Arial" w:hAnsi="Arial" w:cs="Arial"/>
          <w:bCs/>
          <w:sz w:val="22"/>
          <w:szCs w:val="22"/>
        </w:rPr>
      </w:pPr>
      <w:r w:rsidRPr="00167B4E">
        <w:rPr>
          <w:rFonts w:ascii="Arial" w:hAnsi="Arial" w:cs="Arial"/>
          <w:bCs/>
          <w:sz w:val="22"/>
          <w:szCs w:val="22"/>
        </w:rPr>
        <w:t>Povinnost daňové mlčenlivosti je založena zákonem, konkrétně § 52 a násl. zákona č. 280/2009 Sb., daňový řád, ve znění pozdějších předpisů (dále jen „daňový řád“), a pouze zákon může stanovit případná prolomení této mlčenlivosti. Z uvedeného je zřejmé, že žádný interní předpis, který by konstituoval průlom do povinnosti mlčenlivosti správců daně, neexistuje a existovat ani nemůže.</w:t>
      </w:r>
    </w:p>
    <w:p w:rsidR="00646A63" w:rsidRPr="00167B4E" w:rsidRDefault="00646A63" w:rsidP="00167B4E">
      <w:pPr>
        <w:pStyle w:val="NoSpacing"/>
        <w:jc w:val="both"/>
        <w:rPr>
          <w:rFonts w:ascii="Arial" w:hAnsi="Arial" w:cs="Arial"/>
          <w:bCs/>
          <w:sz w:val="22"/>
          <w:szCs w:val="22"/>
        </w:rPr>
      </w:pPr>
    </w:p>
    <w:p w:rsidR="00646A63" w:rsidRDefault="00646A63" w:rsidP="00167B4E">
      <w:pPr>
        <w:pStyle w:val="NoSpacing"/>
        <w:jc w:val="both"/>
        <w:rPr>
          <w:rFonts w:ascii="Arial" w:hAnsi="Arial" w:cs="Arial"/>
          <w:bCs/>
          <w:sz w:val="22"/>
          <w:szCs w:val="22"/>
        </w:rPr>
      </w:pPr>
      <w:r w:rsidRPr="00167B4E">
        <w:rPr>
          <w:rFonts w:ascii="Arial" w:hAnsi="Arial" w:cs="Arial"/>
          <w:bCs/>
          <w:sz w:val="22"/>
          <w:szCs w:val="22"/>
        </w:rPr>
        <w:t>Od interních předpisů je třeba odlišit možnost Ministerstva financí, stejně jako jakéhokoliv jiného orgánu veřejné moci, vydávat právní stanoviska k výkladu právních předpisů, jejichž je gestorem. Takový výklad není obecně závazným výkladem práva, nicméně může působit navenek silou své přesvědčivosti. V případě institutu mlčenlivosti, který je upraven daňovým řádem, není vydávání stanovisek ojedinělým jevem, neboť jde o citlivé téma, které je předmětem častých dotazů, a to i s ohledem na časté novelizace  - zpravidla ve prospěch rozšiřování průlomů do daňové mlčenlivosti.</w:t>
      </w:r>
    </w:p>
    <w:p w:rsidR="00646A63" w:rsidRPr="00167B4E" w:rsidRDefault="00646A63" w:rsidP="00167B4E">
      <w:pPr>
        <w:pStyle w:val="NoSpacing"/>
        <w:jc w:val="both"/>
        <w:rPr>
          <w:rFonts w:ascii="Arial" w:hAnsi="Arial" w:cs="Arial"/>
          <w:bCs/>
          <w:sz w:val="22"/>
          <w:szCs w:val="22"/>
        </w:rPr>
      </w:pPr>
    </w:p>
    <w:p w:rsidR="00646A63" w:rsidRDefault="00646A63" w:rsidP="00167B4E">
      <w:pPr>
        <w:pStyle w:val="NoSpacing"/>
        <w:jc w:val="both"/>
        <w:rPr>
          <w:rFonts w:ascii="Arial" w:hAnsi="Arial" w:cs="Arial"/>
          <w:bCs/>
          <w:sz w:val="22"/>
          <w:szCs w:val="22"/>
        </w:rPr>
      </w:pPr>
      <w:r w:rsidRPr="00167B4E">
        <w:rPr>
          <w:rFonts w:ascii="Arial" w:hAnsi="Arial" w:cs="Arial"/>
          <w:bCs/>
          <w:sz w:val="22"/>
          <w:szCs w:val="22"/>
        </w:rPr>
        <w:t>Dokumentem, na který bylo v médiích v souvislosti s otázkou daňové mlčenlivosti orgánů Finanční správy České republiky vůči Ministerstvu financí odkazováno, je pravděpodobně právní stanovisko odboru Daňová legislativa ze dne 5. prosince 2013, tedy z doby, kdy ministrem financí byl Ing. Jan Fischer, CSc. Toto stanovisko bylo zpracováno v rámci interních diskuzí na téma vztahu Ministerstva financí a nově vzniklého Generálního finančního ředitelství, vedených mezi tehdejším generálním ředitelem Ing. Janem Knížkem a tehdejším náměstkem pro řízení sekce Daně a cla RNDr. Ladislavem Minčičem, CSc. Těžištěm stanoviska bylo řešení otázky, zda podle zákona o Finanční správě</w:t>
      </w:r>
      <w:r>
        <w:rPr>
          <w:rFonts w:ascii="Arial" w:hAnsi="Arial" w:cs="Arial"/>
          <w:bCs/>
          <w:sz w:val="22"/>
          <w:szCs w:val="22"/>
        </w:rPr>
        <w:t xml:space="preserve"> účinného od </w:t>
      </w:r>
      <w:r w:rsidRPr="00167B4E">
        <w:rPr>
          <w:rFonts w:ascii="Arial" w:hAnsi="Arial" w:cs="Arial"/>
          <w:bCs/>
          <w:sz w:val="22"/>
          <w:szCs w:val="22"/>
        </w:rPr>
        <w:t>1. ledna 2013 může Ministerstvo financí nadále vykonávat dohlídkovou činnost vůči orgánům Finanční správy České republiky stejným způsobem, jak tomu bylo na základě předcházející právní úpravy zákona č. 531/1990 Sb., o ú</w:t>
      </w:r>
      <w:r>
        <w:rPr>
          <w:rFonts w:ascii="Arial" w:hAnsi="Arial" w:cs="Arial"/>
          <w:bCs/>
          <w:sz w:val="22"/>
          <w:szCs w:val="22"/>
        </w:rPr>
        <w:t>zemních finančních orgánech, ve </w:t>
      </w:r>
      <w:r w:rsidRPr="00167B4E">
        <w:rPr>
          <w:rFonts w:ascii="Arial" w:hAnsi="Arial" w:cs="Arial"/>
          <w:bCs/>
          <w:sz w:val="22"/>
          <w:szCs w:val="22"/>
        </w:rPr>
        <w:t>znění pozdějších předpisů. Pro doplnění lze uvést, že právě 1. ledna 2013 vznikla reformou tehdejší soustavy územních finančních orgánů Finanční správa České republiky.</w:t>
      </w:r>
    </w:p>
    <w:p w:rsidR="00646A63" w:rsidRPr="00167B4E" w:rsidRDefault="00646A63" w:rsidP="00167B4E">
      <w:pPr>
        <w:pStyle w:val="NoSpacing"/>
        <w:jc w:val="both"/>
        <w:rPr>
          <w:rFonts w:ascii="Arial" w:hAnsi="Arial" w:cs="Arial"/>
          <w:bCs/>
          <w:sz w:val="22"/>
          <w:szCs w:val="22"/>
        </w:rPr>
      </w:pPr>
    </w:p>
    <w:p w:rsidR="00646A63" w:rsidRDefault="00646A63" w:rsidP="00167B4E">
      <w:pPr>
        <w:pStyle w:val="NoSpacing"/>
        <w:jc w:val="both"/>
        <w:rPr>
          <w:rFonts w:ascii="Arial" w:hAnsi="Arial" w:cs="Arial"/>
          <w:bCs/>
          <w:sz w:val="22"/>
          <w:szCs w:val="22"/>
        </w:rPr>
      </w:pPr>
      <w:r w:rsidRPr="00167B4E">
        <w:rPr>
          <w:rFonts w:ascii="Arial" w:hAnsi="Arial" w:cs="Arial"/>
          <w:bCs/>
          <w:sz w:val="22"/>
          <w:szCs w:val="22"/>
        </w:rPr>
        <w:t xml:space="preserve">Součástí uvedeného právního stanoviska bylo i pojednání o daňové mlčenlivosti, kde byly jasně popsány zákonné situace, kdy je možné nadřízenému orgánu informace chráněné mlčenlivostí ze strany orgánů Finanční správy České republiky poskytovat. Od těchto závěrů v dané otázce se Ministerstvo financí od vydání uvedeného stanoviska neodklonilo, přičemž jej nadále vnímá jako objektivní odborný právní rozbor dané problematiky. </w:t>
      </w:r>
    </w:p>
    <w:p w:rsidR="00646A63" w:rsidRPr="00167B4E" w:rsidRDefault="00646A63" w:rsidP="00167B4E">
      <w:pPr>
        <w:pStyle w:val="NoSpacing"/>
        <w:jc w:val="both"/>
        <w:rPr>
          <w:rFonts w:ascii="Arial" w:hAnsi="Arial" w:cs="Arial"/>
          <w:bCs/>
          <w:sz w:val="22"/>
          <w:szCs w:val="22"/>
        </w:rPr>
      </w:pPr>
    </w:p>
    <w:p w:rsidR="00646A63" w:rsidRDefault="00646A63" w:rsidP="00167B4E">
      <w:pPr>
        <w:pStyle w:val="NoSpacing"/>
        <w:jc w:val="both"/>
        <w:rPr>
          <w:rFonts w:ascii="Arial" w:hAnsi="Arial" w:cs="Arial"/>
          <w:bCs/>
          <w:sz w:val="22"/>
          <w:szCs w:val="22"/>
        </w:rPr>
      </w:pPr>
      <w:r w:rsidRPr="00167B4E">
        <w:rPr>
          <w:rFonts w:ascii="Arial" w:hAnsi="Arial" w:cs="Arial"/>
          <w:bCs/>
          <w:sz w:val="22"/>
          <w:szCs w:val="22"/>
        </w:rPr>
        <w:t xml:space="preserve">Pokud jde o obecné otázky vztahu Ministerstva financí a orgánů Finanční správy České republiky, resp. otázky prolomení daňové mlčenlivosti v rámci tohoto vztahu, lze uvést následující. </w:t>
      </w:r>
    </w:p>
    <w:p w:rsidR="00646A63" w:rsidRPr="00167B4E" w:rsidRDefault="00646A63" w:rsidP="00167B4E">
      <w:pPr>
        <w:pStyle w:val="NoSpacing"/>
        <w:jc w:val="both"/>
        <w:rPr>
          <w:rFonts w:ascii="Arial" w:hAnsi="Arial" w:cs="Arial"/>
          <w:bCs/>
          <w:sz w:val="22"/>
          <w:szCs w:val="22"/>
        </w:rPr>
      </w:pPr>
    </w:p>
    <w:p w:rsidR="00646A63" w:rsidRDefault="00646A63" w:rsidP="00167B4E">
      <w:pPr>
        <w:pStyle w:val="NoSpacing"/>
        <w:jc w:val="both"/>
        <w:rPr>
          <w:rFonts w:ascii="Arial" w:hAnsi="Arial" w:cs="Arial"/>
          <w:bCs/>
          <w:sz w:val="22"/>
          <w:szCs w:val="22"/>
        </w:rPr>
      </w:pPr>
      <w:r w:rsidRPr="00167B4E">
        <w:rPr>
          <w:rFonts w:ascii="Arial" w:hAnsi="Arial" w:cs="Arial"/>
          <w:bCs/>
          <w:sz w:val="22"/>
          <w:szCs w:val="22"/>
        </w:rPr>
        <w:t xml:space="preserve">Ministerstvo financí je nadřízeným orgánem Generálního finančního ředitelství stejně tak jako je toto ředitelství nadřízeno dalším orgánům Finanční správy České republiky. Obdobné platí pro vztah Ministerstva financí a Generálního ředitelství cel. Z hlediska možnosti získávat informace z konkrétních případů je pozice Ministerstva financí vůči podřízeným orgánům stejná jako pozice obou generálních ředitelství vůči jim podřízeným orgánům. Toku informací nebrání daňová mlčenlivost – ta totiž platí navenek a nikoli dovnitř soustavy správců daně, mezi něž Ministerstvo financí jako nejvyšší </w:t>
      </w:r>
      <w:r>
        <w:rPr>
          <w:rFonts w:ascii="Arial" w:hAnsi="Arial" w:cs="Arial"/>
          <w:bCs/>
          <w:sz w:val="22"/>
          <w:szCs w:val="22"/>
        </w:rPr>
        <w:t>stupe</w:t>
      </w:r>
      <w:bookmarkStart w:id="0" w:name="_GoBack"/>
      <w:bookmarkEnd w:id="0"/>
      <w:r>
        <w:rPr>
          <w:rFonts w:ascii="Arial" w:hAnsi="Arial" w:cs="Arial"/>
          <w:bCs/>
          <w:sz w:val="22"/>
          <w:szCs w:val="22"/>
        </w:rPr>
        <w:t>ň</w:t>
      </w:r>
      <w:r w:rsidRPr="00167B4E">
        <w:rPr>
          <w:rFonts w:ascii="Arial" w:hAnsi="Arial" w:cs="Arial"/>
          <w:bCs/>
          <w:sz w:val="22"/>
          <w:szCs w:val="22"/>
        </w:rPr>
        <w:t xml:space="preserve"> celé soustavy bezesporu spadá. To ovšem neznamená, že je možné ze strany úředních osob Ministerstva financí získávat kdykoli jakékoli informace. Tato možnost je vždy omezena zákonnou působností a pravomocí k plnění určitého úkolu. </w:t>
      </w:r>
    </w:p>
    <w:p w:rsidR="00646A63" w:rsidRPr="00167B4E" w:rsidRDefault="00646A63" w:rsidP="00167B4E">
      <w:pPr>
        <w:pStyle w:val="NoSpacing"/>
        <w:jc w:val="both"/>
        <w:rPr>
          <w:rFonts w:ascii="Arial" w:hAnsi="Arial" w:cs="Arial"/>
          <w:bCs/>
          <w:sz w:val="22"/>
          <w:szCs w:val="22"/>
        </w:rPr>
      </w:pPr>
    </w:p>
    <w:p w:rsidR="00646A63" w:rsidRDefault="00646A63" w:rsidP="00167B4E">
      <w:pPr>
        <w:pStyle w:val="NoSpacing"/>
        <w:jc w:val="both"/>
        <w:rPr>
          <w:rFonts w:ascii="Arial" w:hAnsi="Arial" w:cs="Arial"/>
          <w:bCs/>
          <w:sz w:val="22"/>
          <w:szCs w:val="22"/>
        </w:rPr>
      </w:pPr>
      <w:r w:rsidRPr="00167B4E">
        <w:rPr>
          <w:rFonts w:ascii="Arial" w:hAnsi="Arial" w:cs="Arial"/>
          <w:bCs/>
          <w:sz w:val="22"/>
          <w:szCs w:val="22"/>
        </w:rPr>
        <w:t>Mezi typické situace, kdy Ministerstvo financí jak</w:t>
      </w:r>
      <w:r>
        <w:rPr>
          <w:rFonts w:ascii="Arial" w:hAnsi="Arial" w:cs="Arial"/>
          <w:bCs/>
          <w:sz w:val="22"/>
          <w:szCs w:val="22"/>
        </w:rPr>
        <w:t>ožto nadřízený orgán získává od </w:t>
      </w:r>
      <w:r w:rsidRPr="00167B4E">
        <w:rPr>
          <w:rFonts w:ascii="Arial" w:hAnsi="Arial" w:cs="Arial"/>
          <w:bCs/>
          <w:sz w:val="22"/>
          <w:szCs w:val="22"/>
        </w:rPr>
        <w:t xml:space="preserve">podřízeného orgánu informace z konkrétních případů chráněné povinností mlčenlivosti, lze zařadit vyřizování opravných a dozorčích prostředků nebo řešení stížností a dotazů vztahujících se k činnosti Generálního finančního ředitelství nebo Generálního ředitelství cel. V tomto rozsahu mají na základě organizačního řádu určení úředníci Ministerstva financí přístup ke konkrétním kauzám, které vyřizují, a v tomto rozsahu mohou po podřízených orgánech žádat další informace chráněné povinností mlčenlivosti. Specifickou situaci, kdy se Ministerstvo financí může seznámit s informacemi z konkrétního případu, představuje dohlídková činnost. Jde o obecný nástroj, kterým nadřízené orgány ověřují, zda jimi dozorované činnosti probíhají tak, jak je stanoveno. Zkoumá se zpravidla to, zda jsou dodržovány závazné předpisy. Postup dohlídky je striktně svázán kontrolním řádem a dalšími předpisy a jejím výstupem je zpráva, která upozorní na případné nedostatky. Obdobně ostatně funguje kontrolní činnost Nejvyššího kontrolního úřadu. </w:t>
      </w:r>
    </w:p>
    <w:p w:rsidR="00646A63" w:rsidRPr="00167B4E" w:rsidRDefault="00646A63" w:rsidP="00167B4E">
      <w:pPr>
        <w:pStyle w:val="NoSpacing"/>
        <w:jc w:val="both"/>
        <w:rPr>
          <w:rFonts w:ascii="Arial" w:hAnsi="Arial" w:cs="Arial"/>
          <w:bCs/>
          <w:sz w:val="22"/>
          <w:szCs w:val="22"/>
        </w:rPr>
      </w:pPr>
    </w:p>
    <w:p w:rsidR="00646A63" w:rsidRPr="00167B4E" w:rsidRDefault="00646A63" w:rsidP="00167B4E">
      <w:pPr>
        <w:pStyle w:val="NoSpacing"/>
        <w:jc w:val="both"/>
        <w:rPr>
          <w:rFonts w:ascii="Arial" w:hAnsi="Arial" w:cs="Arial"/>
          <w:bCs/>
          <w:sz w:val="22"/>
          <w:szCs w:val="22"/>
        </w:rPr>
      </w:pPr>
      <w:r w:rsidRPr="00167B4E">
        <w:rPr>
          <w:rFonts w:ascii="Arial" w:hAnsi="Arial" w:cs="Arial"/>
          <w:bCs/>
          <w:sz w:val="22"/>
          <w:szCs w:val="22"/>
        </w:rPr>
        <w:t>Ministerstvo financí nemůže svévolně zasahovat do rozhodovací praxe Finanční a Celní správy České republiky v konkrétních kauzách a nečiní tak.</w:t>
      </w:r>
    </w:p>
    <w:sectPr w:rsidR="00646A63" w:rsidRPr="00167B4E" w:rsidSect="009E5F4A">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A63" w:rsidRDefault="00646A63" w:rsidP="00242386">
      <w:r>
        <w:separator/>
      </w:r>
    </w:p>
  </w:endnote>
  <w:endnote w:type="continuationSeparator" w:id="0">
    <w:p w:rsidR="00646A63" w:rsidRDefault="00646A63" w:rsidP="002423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A63" w:rsidRPr="00242386" w:rsidRDefault="00646A63" w:rsidP="00242386">
    <w:pPr>
      <w:pStyle w:val="Subtitle"/>
      <w:rPr>
        <w:rFonts w:ascii="Arial" w:hAnsi="Arial" w:cs="Arial"/>
        <w:sz w:val="22"/>
        <w:szCs w:val="22"/>
      </w:rPr>
    </w:pPr>
    <w:r>
      <w:rPr>
        <w:rFonts w:ascii="Arial" w:hAnsi="Arial" w:cs="Arial"/>
        <w:sz w:val="22"/>
        <w:szCs w:val="22"/>
      </w:rPr>
      <w:t xml:space="preserve">Stránka </w:t>
    </w:r>
    <w:r>
      <w:rPr>
        <w:rFonts w:ascii="Arial" w:hAnsi="Arial" w:cs="Arial"/>
        <w:sz w:val="22"/>
        <w:szCs w:val="22"/>
      </w:rPr>
      <w:fldChar w:fldCharType="begin"/>
    </w:r>
    <w:r>
      <w:rPr>
        <w:rFonts w:ascii="Arial" w:hAnsi="Arial" w:cs="Arial"/>
        <w:sz w:val="22"/>
        <w:szCs w:val="22"/>
      </w:rPr>
      <w:instrText>PAGE</w:instrText>
    </w:r>
    <w:r>
      <w:rPr>
        <w:rFonts w:ascii="Arial" w:hAnsi="Arial" w:cs="Arial"/>
        <w:sz w:val="22"/>
        <w:szCs w:val="22"/>
      </w:rPr>
      <w:fldChar w:fldCharType="separate"/>
    </w:r>
    <w:r>
      <w:rPr>
        <w:rFonts w:ascii="Arial" w:hAnsi="Arial" w:cs="Arial"/>
        <w:noProof/>
        <w:sz w:val="22"/>
        <w:szCs w:val="22"/>
      </w:rPr>
      <w:t>4</w:t>
    </w:r>
    <w:r>
      <w:rPr>
        <w:rFonts w:ascii="Arial" w:hAnsi="Arial" w:cs="Arial"/>
        <w:sz w:val="22"/>
        <w:szCs w:val="22"/>
      </w:rPr>
      <w:fldChar w:fldCharType="end"/>
    </w:r>
    <w:r>
      <w:rPr>
        <w:rFonts w:ascii="Arial" w:hAnsi="Arial" w:cs="Arial"/>
        <w:sz w:val="22"/>
        <w:szCs w:val="22"/>
      </w:rPr>
      <w:t xml:space="preserve"> (celkem </w:t>
    </w:r>
    <w:r>
      <w:rPr>
        <w:rFonts w:ascii="Arial" w:hAnsi="Arial" w:cs="Arial"/>
        <w:sz w:val="22"/>
        <w:szCs w:val="22"/>
      </w:rPr>
      <w:fldChar w:fldCharType="begin"/>
    </w:r>
    <w:r>
      <w:rPr>
        <w:rFonts w:ascii="Arial" w:hAnsi="Arial" w:cs="Arial"/>
        <w:sz w:val="22"/>
        <w:szCs w:val="22"/>
      </w:rPr>
      <w:instrText>NUMPAGES</w:instrText>
    </w:r>
    <w:r>
      <w:rPr>
        <w:rFonts w:ascii="Arial" w:hAnsi="Arial" w:cs="Arial"/>
        <w:sz w:val="22"/>
        <w:szCs w:val="22"/>
      </w:rPr>
      <w:fldChar w:fldCharType="separate"/>
    </w:r>
    <w:r>
      <w:rPr>
        <w:rFonts w:ascii="Arial" w:hAnsi="Arial" w:cs="Arial"/>
        <w:noProof/>
        <w:sz w:val="22"/>
        <w:szCs w:val="22"/>
      </w:rPr>
      <w:t>4</w:t>
    </w:r>
    <w:r>
      <w:rPr>
        <w:rFonts w:ascii="Arial" w:hAnsi="Arial" w:cs="Arial"/>
        <w:sz w:val="22"/>
        <w:szCs w:val="22"/>
      </w:rPr>
      <w:fldChar w:fldCharType="end"/>
    </w:r>
    <w:r>
      <w:rPr>
        <w:rFonts w:ascii="Arial" w:hAnsi="Arial" w:cs="Arial"/>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A63" w:rsidRDefault="00646A63" w:rsidP="00242386">
      <w:r>
        <w:separator/>
      </w:r>
    </w:p>
  </w:footnote>
  <w:footnote w:type="continuationSeparator" w:id="0">
    <w:p w:rsidR="00646A63" w:rsidRDefault="00646A63" w:rsidP="00242386">
      <w:r>
        <w:continuationSeparator/>
      </w:r>
    </w:p>
  </w:footnote>
  <w:footnote w:id="1">
    <w:p w:rsidR="00646A63" w:rsidRDefault="00646A63" w:rsidP="00B10660">
      <w:pPr>
        <w:pStyle w:val="NoSpacing"/>
        <w:jc w:val="both"/>
      </w:pPr>
      <w:r w:rsidRPr="004A7372">
        <w:rPr>
          <w:rStyle w:val="FootnoteReference"/>
          <w:rFonts w:ascii="Arial" w:hAnsi="Arial" w:cs="Arial"/>
          <w:sz w:val="16"/>
          <w:szCs w:val="16"/>
        </w:rPr>
        <w:footnoteRef/>
      </w:r>
      <w:r w:rsidRPr="004A7372">
        <w:rPr>
          <w:rFonts w:ascii="Arial" w:hAnsi="Arial" w:cs="Arial"/>
          <w:sz w:val="16"/>
          <w:szCs w:val="16"/>
        </w:rPr>
        <w:t xml:space="preserve"> Daňová Kobra (dále v textu této informace jako „KOBRA“) je metoda práce uplatňovaná mezi Policií ČR, Finanční správou a Celní správou, spočívající ve vzájemném sdílení informací, postupů a uplatňování metody nejlepší praxe. Primárními cíli činností Daňové Kobry jsou: Ochrana státního rozpočtu před negativními dopady organizované daňové trestné činnosti, postihování organizátorů takto páchaných skutků a v neposlední řadě i ze zkušeností s odhalováním těchto nejsofistikovanějších forem daňové trestné činnosti i následná implementace legislativních změn do právních předpisů České republiky. Do ad hoc pracovních týmů Daňové Kobry, které se věnují konkrétním kauzám s dopady na krácení daní, se věnují jak na centrální (celorepublikové) úrovni, tak i na regionální (krajské) úrovni  vždy podle povahy případu nominování specialisté z řad jednotlivých složek členů Daňové Kobry, tj.  Finanční správy, Celní správy a Policie ČR.“</w:t>
      </w:r>
    </w:p>
  </w:footnote>
  <w:footnote w:id="2">
    <w:p w:rsidR="00646A63" w:rsidRDefault="00646A63" w:rsidP="00B10660">
      <w:pPr>
        <w:pStyle w:val="NoSpacing"/>
        <w:jc w:val="both"/>
      </w:pPr>
      <w:r w:rsidRPr="004A7372">
        <w:rPr>
          <w:rStyle w:val="FootnoteReference"/>
          <w:rFonts w:ascii="Arial" w:hAnsi="Arial" w:cs="Arial"/>
          <w:sz w:val="16"/>
          <w:szCs w:val="16"/>
        </w:rPr>
        <w:footnoteRef/>
      </w:r>
      <w:r w:rsidRPr="004A7372">
        <w:rPr>
          <w:rFonts w:ascii="Arial" w:hAnsi="Arial" w:cs="Arial"/>
          <w:sz w:val="16"/>
          <w:szCs w:val="16"/>
        </w:rPr>
        <w:t xml:space="preserve"> K</w:t>
      </w:r>
      <w:r>
        <w:rPr>
          <w:rFonts w:ascii="Arial" w:hAnsi="Arial" w:cs="Arial"/>
          <w:sz w:val="16"/>
          <w:szCs w:val="16"/>
        </w:rPr>
        <w:t> </w:t>
      </w:r>
      <w:r w:rsidRPr="004A7372">
        <w:rPr>
          <w:rFonts w:ascii="Arial" w:hAnsi="Arial" w:cs="Arial"/>
          <w:sz w:val="16"/>
          <w:szCs w:val="16"/>
        </w:rPr>
        <w:t>tomu</w:t>
      </w:r>
      <w:r>
        <w:rPr>
          <w:rFonts w:ascii="Arial" w:hAnsi="Arial" w:cs="Arial"/>
          <w:sz w:val="16"/>
          <w:szCs w:val="16"/>
        </w:rPr>
        <w:t xml:space="preserve"> blíže</w:t>
      </w:r>
      <w:r w:rsidRPr="004A7372">
        <w:rPr>
          <w:rFonts w:ascii="Arial" w:hAnsi="Arial" w:cs="Arial"/>
          <w:sz w:val="16"/>
          <w:szCs w:val="16"/>
        </w:rPr>
        <w:t xml:space="preserve"> viz </w:t>
      </w:r>
      <w:r w:rsidRPr="004A7372">
        <w:rPr>
          <w:rFonts w:ascii="Arial" w:hAnsi="Arial" w:cs="Arial"/>
          <w:i/>
          <w:sz w:val="16"/>
          <w:szCs w:val="16"/>
        </w:rPr>
        <w:t>Informace ministra financí k zajišťovacím příkazům a jejich využití ze strany Finanční správy České republiky</w:t>
      </w:r>
      <w:r w:rsidRPr="004A7372">
        <w:rPr>
          <w:rFonts w:ascii="Arial" w:hAnsi="Arial" w:cs="Arial"/>
          <w:sz w:val="16"/>
          <w:szCs w:val="16"/>
        </w:rPr>
        <w:t xml:space="preserve">, projednaná </w:t>
      </w:r>
      <w:r>
        <w:rPr>
          <w:rFonts w:ascii="Arial" w:hAnsi="Arial" w:cs="Arial"/>
          <w:sz w:val="16"/>
          <w:szCs w:val="16"/>
        </w:rPr>
        <w:t>vládou České republiky dne 24. č</w:t>
      </w:r>
      <w:r w:rsidRPr="004A7372">
        <w:rPr>
          <w:rFonts w:ascii="Arial" w:hAnsi="Arial" w:cs="Arial"/>
          <w:sz w:val="16"/>
          <w:szCs w:val="16"/>
        </w:rPr>
        <w:t>ervence 2017, strana 6.</w:t>
      </w:r>
    </w:p>
  </w:footnote>
  <w:footnote w:id="3">
    <w:p w:rsidR="00646A63" w:rsidRDefault="00646A63">
      <w:pPr>
        <w:pStyle w:val="FootnoteText"/>
      </w:pPr>
      <w:r>
        <w:rPr>
          <w:rStyle w:val="FootnoteReference"/>
        </w:rPr>
        <w:footnoteRef/>
      </w:r>
      <w:r>
        <w:t xml:space="preserve"> </w:t>
      </w:r>
      <w:r w:rsidRPr="005A1443">
        <w:rPr>
          <w:rFonts w:ascii="Arial" w:hAnsi="Arial" w:cs="Arial"/>
          <w:sz w:val="16"/>
          <w:szCs w:val="16"/>
        </w:rPr>
        <w:t xml:space="preserve">K tomu blíže viz </w:t>
      </w:r>
      <w:r w:rsidRPr="00497EA3">
        <w:rPr>
          <w:rFonts w:ascii="Arial" w:hAnsi="Arial" w:cs="Arial"/>
          <w:i/>
          <w:sz w:val="16"/>
          <w:szCs w:val="16"/>
        </w:rPr>
        <w:t>Informace ministra financí o postupech Finanční správy České republiky ve věci zajišťovacích příkazů a tzv. korunových dluhopisů</w:t>
      </w:r>
      <w:r w:rsidRPr="005A1443">
        <w:rPr>
          <w:rFonts w:ascii="Arial" w:hAnsi="Arial" w:cs="Arial"/>
          <w:sz w:val="16"/>
          <w:szCs w:val="16"/>
        </w:rPr>
        <w:t xml:space="preserve"> (č.j. 999/17), projednaná vládou dne 25. září 2017</w:t>
      </w:r>
      <w:r>
        <w:rPr>
          <w:rFonts w:ascii="Arial" w:hAnsi="Arial" w:cs="Arial"/>
          <w:sz w:val="16"/>
          <w:szCs w:val="16"/>
        </w:rPr>
        <w:t>, strana 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0E7"/>
    <w:multiLevelType w:val="hybridMultilevel"/>
    <w:tmpl w:val="EEBC20DC"/>
    <w:lvl w:ilvl="0" w:tplc="AFB67D84">
      <w:start w:val="1"/>
      <w:numFmt w:val="bullet"/>
      <w:lvlText w:val="-"/>
      <w:lvlJc w:val="left"/>
      <w:pPr>
        <w:ind w:left="720" w:hanging="360"/>
      </w:pPr>
      <w:rPr>
        <w:rFonts w:ascii="Calibri" w:hAnsi="Calibri"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75D3B65"/>
    <w:multiLevelType w:val="hybridMultilevel"/>
    <w:tmpl w:val="C0FC2A00"/>
    <w:lvl w:ilvl="0" w:tplc="B944E73A">
      <w:start w:val="1"/>
      <w:numFmt w:val="bullet"/>
      <w:lvlText w:val=""/>
      <w:lvlJc w:val="left"/>
      <w:pPr>
        <w:tabs>
          <w:tab w:val="num" w:pos="720"/>
        </w:tabs>
        <w:ind w:left="720" w:hanging="360"/>
      </w:pPr>
      <w:rPr>
        <w:rFonts w:ascii="Wingdings" w:hAnsi="Wingdings" w:hint="default"/>
      </w:rPr>
    </w:lvl>
    <w:lvl w:ilvl="1" w:tplc="631A49B0" w:tentative="1">
      <w:start w:val="1"/>
      <w:numFmt w:val="bullet"/>
      <w:lvlText w:val=""/>
      <w:lvlJc w:val="left"/>
      <w:pPr>
        <w:tabs>
          <w:tab w:val="num" w:pos="1440"/>
        </w:tabs>
        <w:ind w:left="1440" w:hanging="360"/>
      </w:pPr>
      <w:rPr>
        <w:rFonts w:ascii="Wingdings" w:hAnsi="Wingdings" w:hint="default"/>
      </w:rPr>
    </w:lvl>
    <w:lvl w:ilvl="2" w:tplc="4F7A8670" w:tentative="1">
      <w:start w:val="1"/>
      <w:numFmt w:val="bullet"/>
      <w:lvlText w:val=""/>
      <w:lvlJc w:val="left"/>
      <w:pPr>
        <w:tabs>
          <w:tab w:val="num" w:pos="2160"/>
        </w:tabs>
        <w:ind w:left="2160" w:hanging="360"/>
      </w:pPr>
      <w:rPr>
        <w:rFonts w:ascii="Wingdings" w:hAnsi="Wingdings" w:hint="default"/>
      </w:rPr>
    </w:lvl>
    <w:lvl w:ilvl="3" w:tplc="08726E94" w:tentative="1">
      <w:start w:val="1"/>
      <w:numFmt w:val="bullet"/>
      <w:lvlText w:val=""/>
      <w:lvlJc w:val="left"/>
      <w:pPr>
        <w:tabs>
          <w:tab w:val="num" w:pos="2880"/>
        </w:tabs>
        <w:ind w:left="2880" w:hanging="360"/>
      </w:pPr>
      <w:rPr>
        <w:rFonts w:ascii="Wingdings" w:hAnsi="Wingdings" w:hint="default"/>
      </w:rPr>
    </w:lvl>
    <w:lvl w:ilvl="4" w:tplc="A90A9230" w:tentative="1">
      <w:start w:val="1"/>
      <w:numFmt w:val="bullet"/>
      <w:lvlText w:val=""/>
      <w:lvlJc w:val="left"/>
      <w:pPr>
        <w:tabs>
          <w:tab w:val="num" w:pos="3600"/>
        </w:tabs>
        <w:ind w:left="3600" w:hanging="360"/>
      </w:pPr>
      <w:rPr>
        <w:rFonts w:ascii="Wingdings" w:hAnsi="Wingdings" w:hint="default"/>
      </w:rPr>
    </w:lvl>
    <w:lvl w:ilvl="5" w:tplc="E9865EA8" w:tentative="1">
      <w:start w:val="1"/>
      <w:numFmt w:val="bullet"/>
      <w:lvlText w:val=""/>
      <w:lvlJc w:val="left"/>
      <w:pPr>
        <w:tabs>
          <w:tab w:val="num" w:pos="4320"/>
        </w:tabs>
        <w:ind w:left="4320" w:hanging="360"/>
      </w:pPr>
      <w:rPr>
        <w:rFonts w:ascii="Wingdings" w:hAnsi="Wingdings" w:hint="default"/>
      </w:rPr>
    </w:lvl>
    <w:lvl w:ilvl="6" w:tplc="CEC042BC" w:tentative="1">
      <w:start w:val="1"/>
      <w:numFmt w:val="bullet"/>
      <w:lvlText w:val=""/>
      <w:lvlJc w:val="left"/>
      <w:pPr>
        <w:tabs>
          <w:tab w:val="num" w:pos="5040"/>
        </w:tabs>
        <w:ind w:left="5040" w:hanging="360"/>
      </w:pPr>
      <w:rPr>
        <w:rFonts w:ascii="Wingdings" w:hAnsi="Wingdings" w:hint="default"/>
      </w:rPr>
    </w:lvl>
    <w:lvl w:ilvl="7" w:tplc="A784ED74" w:tentative="1">
      <w:start w:val="1"/>
      <w:numFmt w:val="bullet"/>
      <w:lvlText w:val=""/>
      <w:lvlJc w:val="left"/>
      <w:pPr>
        <w:tabs>
          <w:tab w:val="num" w:pos="5760"/>
        </w:tabs>
        <w:ind w:left="5760" w:hanging="360"/>
      </w:pPr>
      <w:rPr>
        <w:rFonts w:ascii="Wingdings" w:hAnsi="Wingdings" w:hint="default"/>
      </w:rPr>
    </w:lvl>
    <w:lvl w:ilvl="8" w:tplc="2E3AB70A" w:tentative="1">
      <w:start w:val="1"/>
      <w:numFmt w:val="bullet"/>
      <w:lvlText w:val=""/>
      <w:lvlJc w:val="left"/>
      <w:pPr>
        <w:tabs>
          <w:tab w:val="num" w:pos="6480"/>
        </w:tabs>
        <w:ind w:left="6480" w:hanging="360"/>
      </w:pPr>
      <w:rPr>
        <w:rFonts w:ascii="Wingdings" w:hAnsi="Wingdings" w:hint="default"/>
      </w:rPr>
    </w:lvl>
  </w:abstractNum>
  <w:abstractNum w:abstractNumId="2">
    <w:nsid w:val="145C3710"/>
    <w:multiLevelType w:val="hybridMultilevel"/>
    <w:tmpl w:val="07D48E4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6795828"/>
    <w:multiLevelType w:val="hybridMultilevel"/>
    <w:tmpl w:val="B8AC509A"/>
    <w:lvl w:ilvl="0" w:tplc="F996A4B2">
      <w:numFmt w:val="bullet"/>
      <w:lvlText w:val="-"/>
      <w:lvlJc w:val="left"/>
      <w:pPr>
        <w:ind w:left="720" w:hanging="360"/>
      </w:pPr>
      <w:rPr>
        <w:rFonts w:ascii="Calibri" w:eastAsia="Times New Roman" w:hAnsi="Calibri" w:hint="default"/>
      </w:rPr>
    </w:lvl>
    <w:lvl w:ilvl="1" w:tplc="04050005">
      <w:start w:val="1"/>
      <w:numFmt w:val="bullet"/>
      <w:lvlText w:val=""/>
      <w:lvlJc w:val="left"/>
      <w:pPr>
        <w:ind w:left="1440" w:hanging="360"/>
      </w:pPr>
      <w:rPr>
        <w:rFonts w:ascii="Wingdings" w:hAnsi="Wingdings" w:hint="default"/>
      </w:rPr>
    </w:lvl>
    <w:lvl w:ilvl="2" w:tplc="7586FF2E">
      <w:start w:val="1"/>
      <w:numFmt w:val="bullet"/>
      <w:lvlText w:val=""/>
      <w:lvlJc w:val="left"/>
      <w:pPr>
        <w:ind w:left="2160" w:hanging="360"/>
      </w:pPr>
      <w:rPr>
        <w:rFonts w:ascii="Wingdings" w:eastAsia="Times New Roman"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4">
    <w:nsid w:val="26BC42AE"/>
    <w:multiLevelType w:val="hybridMultilevel"/>
    <w:tmpl w:val="BF862860"/>
    <w:lvl w:ilvl="0" w:tplc="04050005">
      <w:start w:val="1"/>
      <w:numFmt w:val="bullet"/>
      <w:lvlText w:val=""/>
      <w:lvlJc w:val="left"/>
      <w:pPr>
        <w:ind w:left="1434" w:hanging="360"/>
      </w:pPr>
      <w:rPr>
        <w:rFonts w:ascii="Wingdings" w:hAnsi="Wingdings" w:hint="default"/>
      </w:rPr>
    </w:lvl>
    <w:lvl w:ilvl="1" w:tplc="04050003">
      <w:start w:val="1"/>
      <w:numFmt w:val="bullet"/>
      <w:lvlText w:val="o"/>
      <w:lvlJc w:val="left"/>
      <w:pPr>
        <w:ind w:left="2154" w:hanging="360"/>
      </w:pPr>
      <w:rPr>
        <w:rFonts w:ascii="Courier New" w:hAnsi="Courier New" w:hint="default"/>
      </w:rPr>
    </w:lvl>
    <w:lvl w:ilvl="2" w:tplc="04050005">
      <w:start w:val="1"/>
      <w:numFmt w:val="bullet"/>
      <w:lvlText w:val=""/>
      <w:lvlJc w:val="left"/>
      <w:pPr>
        <w:ind w:left="2874" w:hanging="360"/>
      </w:pPr>
      <w:rPr>
        <w:rFonts w:ascii="Wingdings" w:hAnsi="Wingdings" w:hint="default"/>
      </w:rPr>
    </w:lvl>
    <w:lvl w:ilvl="3" w:tplc="04050001">
      <w:start w:val="1"/>
      <w:numFmt w:val="bullet"/>
      <w:lvlText w:val=""/>
      <w:lvlJc w:val="left"/>
      <w:pPr>
        <w:ind w:left="3594" w:hanging="360"/>
      </w:pPr>
      <w:rPr>
        <w:rFonts w:ascii="Symbol" w:hAnsi="Symbol" w:hint="default"/>
      </w:rPr>
    </w:lvl>
    <w:lvl w:ilvl="4" w:tplc="04050003">
      <w:start w:val="1"/>
      <w:numFmt w:val="bullet"/>
      <w:lvlText w:val="o"/>
      <w:lvlJc w:val="left"/>
      <w:pPr>
        <w:ind w:left="4314" w:hanging="360"/>
      </w:pPr>
      <w:rPr>
        <w:rFonts w:ascii="Courier New" w:hAnsi="Courier New" w:hint="default"/>
      </w:rPr>
    </w:lvl>
    <w:lvl w:ilvl="5" w:tplc="04050005">
      <w:start w:val="1"/>
      <w:numFmt w:val="bullet"/>
      <w:lvlText w:val=""/>
      <w:lvlJc w:val="left"/>
      <w:pPr>
        <w:ind w:left="5034" w:hanging="360"/>
      </w:pPr>
      <w:rPr>
        <w:rFonts w:ascii="Wingdings" w:hAnsi="Wingdings" w:hint="default"/>
      </w:rPr>
    </w:lvl>
    <w:lvl w:ilvl="6" w:tplc="04050001">
      <w:start w:val="1"/>
      <w:numFmt w:val="bullet"/>
      <w:lvlText w:val=""/>
      <w:lvlJc w:val="left"/>
      <w:pPr>
        <w:ind w:left="5754" w:hanging="360"/>
      </w:pPr>
      <w:rPr>
        <w:rFonts w:ascii="Symbol" w:hAnsi="Symbol" w:hint="default"/>
      </w:rPr>
    </w:lvl>
    <w:lvl w:ilvl="7" w:tplc="04050003">
      <w:start w:val="1"/>
      <w:numFmt w:val="bullet"/>
      <w:lvlText w:val="o"/>
      <w:lvlJc w:val="left"/>
      <w:pPr>
        <w:ind w:left="6474" w:hanging="360"/>
      </w:pPr>
      <w:rPr>
        <w:rFonts w:ascii="Courier New" w:hAnsi="Courier New" w:hint="default"/>
      </w:rPr>
    </w:lvl>
    <w:lvl w:ilvl="8" w:tplc="04050005">
      <w:start w:val="1"/>
      <w:numFmt w:val="bullet"/>
      <w:lvlText w:val=""/>
      <w:lvlJc w:val="left"/>
      <w:pPr>
        <w:ind w:left="7194" w:hanging="360"/>
      </w:pPr>
      <w:rPr>
        <w:rFonts w:ascii="Wingdings" w:hAnsi="Wingdings" w:hint="default"/>
      </w:rPr>
    </w:lvl>
  </w:abstractNum>
  <w:abstractNum w:abstractNumId="5">
    <w:nsid w:val="3F462404"/>
    <w:multiLevelType w:val="hybridMultilevel"/>
    <w:tmpl w:val="D2802780"/>
    <w:lvl w:ilvl="0" w:tplc="E5DA9A14">
      <w:start w:val="1"/>
      <w:numFmt w:val="bullet"/>
      <w:lvlText w:val=""/>
      <w:lvlJc w:val="left"/>
      <w:pPr>
        <w:tabs>
          <w:tab w:val="num" w:pos="720"/>
        </w:tabs>
        <w:ind w:left="720" w:hanging="360"/>
      </w:pPr>
      <w:rPr>
        <w:rFonts w:ascii="Wingdings" w:hAnsi="Wingdings" w:hint="default"/>
      </w:rPr>
    </w:lvl>
    <w:lvl w:ilvl="1" w:tplc="9FD05CA6" w:tentative="1">
      <w:start w:val="1"/>
      <w:numFmt w:val="bullet"/>
      <w:lvlText w:val=""/>
      <w:lvlJc w:val="left"/>
      <w:pPr>
        <w:tabs>
          <w:tab w:val="num" w:pos="1440"/>
        </w:tabs>
        <w:ind w:left="1440" w:hanging="360"/>
      </w:pPr>
      <w:rPr>
        <w:rFonts w:ascii="Wingdings" w:hAnsi="Wingdings" w:hint="default"/>
      </w:rPr>
    </w:lvl>
    <w:lvl w:ilvl="2" w:tplc="A3AC6DAA" w:tentative="1">
      <w:start w:val="1"/>
      <w:numFmt w:val="bullet"/>
      <w:lvlText w:val=""/>
      <w:lvlJc w:val="left"/>
      <w:pPr>
        <w:tabs>
          <w:tab w:val="num" w:pos="2160"/>
        </w:tabs>
        <w:ind w:left="2160" w:hanging="360"/>
      </w:pPr>
      <w:rPr>
        <w:rFonts w:ascii="Wingdings" w:hAnsi="Wingdings" w:hint="default"/>
      </w:rPr>
    </w:lvl>
    <w:lvl w:ilvl="3" w:tplc="709ED06E" w:tentative="1">
      <w:start w:val="1"/>
      <w:numFmt w:val="bullet"/>
      <w:lvlText w:val=""/>
      <w:lvlJc w:val="left"/>
      <w:pPr>
        <w:tabs>
          <w:tab w:val="num" w:pos="2880"/>
        </w:tabs>
        <w:ind w:left="2880" w:hanging="360"/>
      </w:pPr>
      <w:rPr>
        <w:rFonts w:ascii="Wingdings" w:hAnsi="Wingdings" w:hint="default"/>
      </w:rPr>
    </w:lvl>
    <w:lvl w:ilvl="4" w:tplc="874269A4" w:tentative="1">
      <w:start w:val="1"/>
      <w:numFmt w:val="bullet"/>
      <w:lvlText w:val=""/>
      <w:lvlJc w:val="left"/>
      <w:pPr>
        <w:tabs>
          <w:tab w:val="num" w:pos="3600"/>
        </w:tabs>
        <w:ind w:left="3600" w:hanging="360"/>
      </w:pPr>
      <w:rPr>
        <w:rFonts w:ascii="Wingdings" w:hAnsi="Wingdings" w:hint="default"/>
      </w:rPr>
    </w:lvl>
    <w:lvl w:ilvl="5" w:tplc="3606D124" w:tentative="1">
      <w:start w:val="1"/>
      <w:numFmt w:val="bullet"/>
      <w:lvlText w:val=""/>
      <w:lvlJc w:val="left"/>
      <w:pPr>
        <w:tabs>
          <w:tab w:val="num" w:pos="4320"/>
        </w:tabs>
        <w:ind w:left="4320" w:hanging="360"/>
      </w:pPr>
      <w:rPr>
        <w:rFonts w:ascii="Wingdings" w:hAnsi="Wingdings" w:hint="default"/>
      </w:rPr>
    </w:lvl>
    <w:lvl w:ilvl="6" w:tplc="D972655C" w:tentative="1">
      <w:start w:val="1"/>
      <w:numFmt w:val="bullet"/>
      <w:lvlText w:val=""/>
      <w:lvlJc w:val="left"/>
      <w:pPr>
        <w:tabs>
          <w:tab w:val="num" w:pos="5040"/>
        </w:tabs>
        <w:ind w:left="5040" w:hanging="360"/>
      </w:pPr>
      <w:rPr>
        <w:rFonts w:ascii="Wingdings" w:hAnsi="Wingdings" w:hint="default"/>
      </w:rPr>
    </w:lvl>
    <w:lvl w:ilvl="7" w:tplc="EAE4AC1E" w:tentative="1">
      <w:start w:val="1"/>
      <w:numFmt w:val="bullet"/>
      <w:lvlText w:val=""/>
      <w:lvlJc w:val="left"/>
      <w:pPr>
        <w:tabs>
          <w:tab w:val="num" w:pos="5760"/>
        </w:tabs>
        <w:ind w:left="5760" w:hanging="360"/>
      </w:pPr>
      <w:rPr>
        <w:rFonts w:ascii="Wingdings" w:hAnsi="Wingdings" w:hint="default"/>
      </w:rPr>
    </w:lvl>
    <w:lvl w:ilvl="8" w:tplc="95241168" w:tentative="1">
      <w:start w:val="1"/>
      <w:numFmt w:val="bullet"/>
      <w:lvlText w:val=""/>
      <w:lvlJc w:val="left"/>
      <w:pPr>
        <w:tabs>
          <w:tab w:val="num" w:pos="6480"/>
        </w:tabs>
        <w:ind w:left="6480" w:hanging="360"/>
      </w:pPr>
      <w:rPr>
        <w:rFonts w:ascii="Wingdings" w:hAnsi="Wingdings" w:hint="default"/>
      </w:rPr>
    </w:lvl>
  </w:abstractNum>
  <w:abstractNum w:abstractNumId="6">
    <w:nsid w:val="4BF96479"/>
    <w:multiLevelType w:val="hybridMultilevel"/>
    <w:tmpl w:val="A23E8F14"/>
    <w:lvl w:ilvl="0" w:tplc="8BD8505E">
      <w:start w:val="1"/>
      <w:numFmt w:val="bullet"/>
      <w:lvlText w:val=""/>
      <w:lvlJc w:val="left"/>
      <w:pPr>
        <w:tabs>
          <w:tab w:val="num" w:pos="720"/>
        </w:tabs>
        <w:ind w:left="720" w:hanging="360"/>
      </w:pPr>
      <w:rPr>
        <w:rFonts w:ascii="Wingdings" w:hAnsi="Wingdings" w:hint="default"/>
      </w:rPr>
    </w:lvl>
    <w:lvl w:ilvl="1" w:tplc="84481BE6" w:tentative="1">
      <w:start w:val="1"/>
      <w:numFmt w:val="bullet"/>
      <w:lvlText w:val=""/>
      <w:lvlJc w:val="left"/>
      <w:pPr>
        <w:tabs>
          <w:tab w:val="num" w:pos="1440"/>
        </w:tabs>
        <w:ind w:left="1440" w:hanging="360"/>
      </w:pPr>
      <w:rPr>
        <w:rFonts w:ascii="Wingdings" w:hAnsi="Wingdings" w:hint="default"/>
      </w:rPr>
    </w:lvl>
    <w:lvl w:ilvl="2" w:tplc="BD8EA94E" w:tentative="1">
      <w:start w:val="1"/>
      <w:numFmt w:val="bullet"/>
      <w:lvlText w:val=""/>
      <w:lvlJc w:val="left"/>
      <w:pPr>
        <w:tabs>
          <w:tab w:val="num" w:pos="2160"/>
        </w:tabs>
        <w:ind w:left="2160" w:hanging="360"/>
      </w:pPr>
      <w:rPr>
        <w:rFonts w:ascii="Wingdings" w:hAnsi="Wingdings" w:hint="default"/>
      </w:rPr>
    </w:lvl>
    <w:lvl w:ilvl="3" w:tplc="81A07E9E" w:tentative="1">
      <w:start w:val="1"/>
      <w:numFmt w:val="bullet"/>
      <w:lvlText w:val=""/>
      <w:lvlJc w:val="left"/>
      <w:pPr>
        <w:tabs>
          <w:tab w:val="num" w:pos="2880"/>
        </w:tabs>
        <w:ind w:left="2880" w:hanging="360"/>
      </w:pPr>
      <w:rPr>
        <w:rFonts w:ascii="Wingdings" w:hAnsi="Wingdings" w:hint="default"/>
      </w:rPr>
    </w:lvl>
    <w:lvl w:ilvl="4" w:tplc="044C1EEA" w:tentative="1">
      <w:start w:val="1"/>
      <w:numFmt w:val="bullet"/>
      <w:lvlText w:val=""/>
      <w:lvlJc w:val="left"/>
      <w:pPr>
        <w:tabs>
          <w:tab w:val="num" w:pos="3600"/>
        </w:tabs>
        <w:ind w:left="3600" w:hanging="360"/>
      </w:pPr>
      <w:rPr>
        <w:rFonts w:ascii="Wingdings" w:hAnsi="Wingdings" w:hint="default"/>
      </w:rPr>
    </w:lvl>
    <w:lvl w:ilvl="5" w:tplc="8036FBE0" w:tentative="1">
      <w:start w:val="1"/>
      <w:numFmt w:val="bullet"/>
      <w:lvlText w:val=""/>
      <w:lvlJc w:val="left"/>
      <w:pPr>
        <w:tabs>
          <w:tab w:val="num" w:pos="4320"/>
        </w:tabs>
        <w:ind w:left="4320" w:hanging="360"/>
      </w:pPr>
      <w:rPr>
        <w:rFonts w:ascii="Wingdings" w:hAnsi="Wingdings" w:hint="default"/>
      </w:rPr>
    </w:lvl>
    <w:lvl w:ilvl="6" w:tplc="60202924" w:tentative="1">
      <w:start w:val="1"/>
      <w:numFmt w:val="bullet"/>
      <w:lvlText w:val=""/>
      <w:lvlJc w:val="left"/>
      <w:pPr>
        <w:tabs>
          <w:tab w:val="num" w:pos="5040"/>
        </w:tabs>
        <w:ind w:left="5040" w:hanging="360"/>
      </w:pPr>
      <w:rPr>
        <w:rFonts w:ascii="Wingdings" w:hAnsi="Wingdings" w:hint="default"/>
      </w:rPr>
    </w:lvl>
    <w:lvl w:ilvl="7" w:tplc="9CB68044" w:tentative="1">
      <w:start w:val="1"/>
      <w:numFmt w:val="bullet"/>
      <w:lvlText w:val=""/>
      <w:lvlJc w:val="left"/>
      <w:pPr>
        <w:tabs>
          <w:tab w:val="num" w:pos="5760"/>
        </w:tabs>
        <w:ind w:left="5760" w:hanging="360"/>
      </w:pPr>
      <w:rPr>
        <w:rFonts w:ascii="Wingdings" w:hAnsi="Wingdings" w:hint="default"/>
      </w:rPr>
    </w:lvl>
    <w:lvl w:ilvl="8" w:tplc="53EA8FF2" w:tentative="1">
      <w:start w:val="1"/>
      <w:numFmt w:val="bullet"/>
      <w:lvlText w:val=""/>
      <w:lvlJc w:val="left"/>
      <w:pPr>
        <w:tabs>
          <w:tab w:val="num" w:pos="6480"/>
        </w:tabs>
        <w:ind w:left="6480" w:hanging="360"/>
      </w:pPr>
      <w:rPr>
        <w:rFonts w:ascii="Wingdings" w:hAnsi="Wingdings" w:hint="default"/>
      </w:rPr>
    </w:lvl>
  </w:abstractNum>
  <w:abstractNum w:abstractNumId="7">
    <w:nsid w:val="4DF3171C"/>
    <w:multiLevelType w:val="hybridMultilevel"/>
    <w:tmpl w:val="A83EF5D2"/>
    <w:lvl w:ilvl="0" w:tplc="DA96259C">
      <w:numFmt w:val="bullet"/>
      <w:lvlText w:val="-"/>
      <w:lvlJc w:val="left"/>
      <w:pPr>
        <w:ind w:left="720" w:hanging="360"/>
      </w:pPr>
      <w:rPr>
        <w:rFonts w:ascii="Arial" w:eastAsia="Times New Roman" w:hAnsi="Aria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576871DF"/>
    <w:multiLevelType w:val="hybridMultilevel"/>
    <w:tmpl w:val="86FCF976"/>
    <w:lvl w:ilvl="0" w:tplc="AFB67D84">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583B17DF"/>
    <w:multiLevelType w:val="hybridMultilevel"/>
    <w:tmpl w:val="EE40926A"/>
    <w:lvl w:ilvl="0" w:tplc="5F0A6CFC">
      <w:start w:val="1"/>
      <w:numFmt w:val="bullet"/>
      <w:lvlText w:val=""/>
      <w:lvlJc w:val="left"/>
      <w:pPr>
        <w:tabs>
          <w:tab w:val="num" w:pos="720"/>
        </w:tabs>
        <w:ind w:left="720" w:hanging="360"/>
      </w:pPr>
      <w:rPr>
        <w:rFonts w:ascii="Wingdings" w:hAnsi="Wingdings" w:hint="default"/>
      </w:rPr>
    </w:lvl>
    <w:lvl w:ilvl="1" w:tplc="77E64BAE" w:tentative="1">
      <w:start w:val="1"/>
      <w:numFmt w:val="bullet"/>
      <w:lvlText w:val=""/>
      <w:lvlJc w:val="left"/>
      <w:pPr>
        <w:tabs>
          <w:tab w:val="num" w:pos="1440"/>
        </w:tabs>
        <w:ind w:left="1440" w:hanging="360"/>
      </w:pPr>
      <w:rPr>
        <w:rFonts w:ascii="Wingdings" w:hAnsi="Wingdings" w:hint="default"/>
      </w:rPr>
    </w:lvl>
    <w:lvl w:ilvl="2" w:tplc="BDA01670" w:tentative="1">
      <w:start w:val="1"/>
      <w:numFmt w:val="bullet"/>
      <w:lvlText w:val=""/>
      <w:lvlJc w:val="left"/>
      <w:pPr>
        <w:tabs>
          <w:tab w:val="num" w:pos="2160"/>
        </w:tabs>
        <w:ind w:left="2160" w:hanging="360"/>
      </w:pPr>
      <w:rPr>
        <w:rFonts w:ascii="Wingdings" w:hAnsi="Wingdings" w:hint="default"/>
      </w:rPr>
    </w:lvl>
    <w:lvl w:ilvl="3" w:tplc="2682AF5A" w:tentative="1">
      <w:start w:val="1"/>
      <w:numFmt w:val="bullet"/>
      <w:lvlText w:val=""/>
      <w:lvlJc w:val="left"/>
      <w:pPr>
        <w:tabs>
          <w:tab w:val="num" w:pos="2880"/>
        </w:tabs>
        <w:ind w:left="2880" w:hanging="360"/>
      </w:pPr>
      <w:rPr>
        <w:rFonts w:ascii="Wingdings" w:hAnsi="Wingdings" w:hint="default"/>
      </w:rPr>
    </w:lvl>
    <w:lvl w:ilvl="4" w:tplc="900475DC" w:tentative="1">
      <w:start w:val="1"/>
      <w:numFmt w:val="bullet"/>
      <w:lvlText w:val=""/>
      <w:lvlJc w:val="left"/>
      <w:pPr>
        <w:tabs>
          <w:tab w:val="num" w:pos="3600"/>
        </w:tabs>
        <w:ind w:left="3600" w:hanging="360"/>
      </w:pPr>
      <w:rPr>
        <w:rFonts w:ascii="Wingdings" w:hAnsi="Wingdings" w:hint="default"/>
      </w:rPr>
    </w:lvl>
    <w:lvl w:ilvl="5" w:tplc="E5F0A5CE" w:tentative="1">
      <w:start w:val="1"/>
      <w:numFmt w:val="bullet"/>
      <w:lvlText w:val=""/>
      <w:lvlJc w:val="left"/>
      <w:pPr>
        <w:tabs>
          <w:tab w:val="num" w:pos="4320"/>
        </w:tabs>
        <w:ind w:left="4320" w:hanging="360"/>
      </w:pPr>
      <w:rPr>
        <w:rFonts w:ascii="Wingdings" w:hAnsi="Wingdings" w:hint="default"/>
      </w:rPr>
    </w:lvl>
    <w:lvl w:ilvl="6" w:tplc="3E2A5126" w:tentative="1">
      <w:start w:val="1"/>
      <w:numFmt w:val="bullet"/>
      <w:lvlText w:val=""/>
      <w:lvlJc w:val="left"/>
      <w:pPr>
        <w:tabs>
          <w:tab w:val="num" w:pos="5040"/>
        </w:tabs>
        <w:ind w:left="5040" w:hanging="360"/>
      </w:pPr>
      <w:rPr>
        <w:rFonts w:ascii="Wingdings" w:hAnsi="Wingdings" w:hint="default"/>
      </w:rPr>
    </w:lvl>
    <w:lvl w:ilvl="7" w:tplc="788C0ECC" w:tentative="1">
      <w:start w:val="1"/>
      <w:numFmt w:val="bullet"/>
      <w:lvlText w:val=""/>
      <w:lvlJc w:val="left"/>
      <w:pPr>
        <w:tabs>
          <w:tab w:val="num" w:pos="5760"/>
        </w:tabs>
        <w:ind w:left="5760" w:hanging="360"/>
      </w:pPr>
      <w:rPr>
        <w:rFonts w:ascii="Wingdings" w:hAnsi="Wingdings" w:hint="default"/>
      </w:rPr>
    </w:lvl>
    <w:lvl w:ilvl="8" w:tplc="F5509796" w:tentative="1">
      <w:start w:val="1"/>
      <w:numFmt w:val="bullet"/>
      <w:lvlText w:val=""/>
      <w:lvlJc w:val="left"/>
      <w:pPr>
        <w:tabs>
          <w:tab w:val="num" w:pos="6480"/>
        </w:tabs>
        <w:ind w:left="6480" w:hanging="360"/>
      </w:pPr>
      <w:rPr>
        <w:rFonts w:ascii="Wingdings" w:hAnsi="Wingdings" w:hint="default"/>
      </w:rPr>
    </w:lvl>
  </w:abstractNum>
  <w:abstractNum w:abstractNumId="10">
    <w:nsid w:val="58F03C7E"/>
    <w:multiLevelType w:val="hybridMultilevel"/>
    <w:tmpl w:val="B6D0C0A4"/>
    <w:lvl w:ilvl="0" w:tplc="E6FE2D6A">
      <w:start w:val="1"/>
      <w:numFmt w:val="bullet"/>
      <w:lvlText w:val=""/>
      <w:lvlJc w:val="left"/>
      <w:pPr>
        <w:tabs>
          <w:tab w:val="num" w:pos="720"/>
        </w:tabs>
        <w:ind w:left="720" w:hanging="360"/>
      </w:pPr>
      <w:rPr>
        <w:rFonts w:ascii="Wingdings" w:hAnsi="Wingdings" w:hint="default"/>
      </w:rPr>
    </w:lvl>
    <w:lvl w:ilvl="1" w:tplc="A7107FD6" w:tentative="1">
      <w:start w:val="1"/>
      <w:numFmt w:val="bullet"/>
      <w:lvlText w:val=""/>
      <w:lvlJc w:val="left"/>
      <w:pPr>
        <w:tabs>
          <w:tab w:val="num" w:pos="1440"/>
        </w:tabs>
        <w:ind w:left="1440" w:hanging="360"/>
      </w:pPr>
      <w:rPr>
        <w:rFonts w:ascii="Wingdings" w:hAnsi="Wingdings" w:hint="default"/>
      </w:rPr>
    </w:lvl>
    <w:lvl w:ilvl="2" w:tplc="BD1C4D84" w:tentative="1">
      <w:start w:val="1"/>
      <w:numFmt w:val="bullet"/>
      <w:lvlText w:val=""/>
      <w:lvlJc w:val="left"/>
      <w:pPr>
        <w:tabs>
          <w:tab w:val="num" w:pos="2160"/>
        </w:tabs>
        <w:ind w:left="2160" w:hanging="360"/>
      </w:pPr>
      <w:rPr>
        <w:rFonts w:ascii="Wingdings" w:hAnsi="Wingdings" w:hint="default"/>
      </w:rPr>
    </w:lvl>
    <w:lvl w:ilvl="3" w:tplc="59045536" w:tentative="1">
      <w:start w:val="1"/>
      <w:numFmt w:val="bullet"/>
      <w:lvlText w:val=""/>
      <w:lvlJc w:val="left"/>
      <w:pPr>
        <w:tabs>
          <w:tab w:val="num" w:pos="2880"/>
        </w:tabs>
        <w:ind w:left="2880" w:hanging="360"/>
      </w:pPr>
      <w:rPr>
        <w:rFonts w:ascii="Wingdings" w:hAnsi="Wingdings" w:hint="default"/>
      </w:rPr>
    </w:lvl>
    <w:lvl w:ilvl="4" w:tplc="6940391A" w:tentative="1">
      <w:start w:val="1"/>
      <w:numFmt w:val="bullet"/>
      <w:lvlText w:val=""/>
      <w:lvlJc w:val="left"/>
      <w:pPr>
        <w:tabs>
          <w:tab w:val="num" w:pos="3600"/>
        </w:tabs>
        <w:ind w:left="3600" w:hanging="360"/>
      </w:pPr>
      <w:rPr>
        <w:rFonts w:ascii="Wingdings" w:hAnsi="Wingdings" w:hint="default"/>
      </w:rPr>
    </w:lvl>
    <w:lvl w:ilvl="5" w:tplc="26087FFA" w:tentative="1">
      <w:start w:val="1"/>
      <w:numFmt w:val="bullet"/>
      <w:lvlText w:val=""/>
      <w:lvlJc w:val="left"/>
      <w:pPr>
        <w:tabs>
          <w:tab w:val="num" w:pos="4320"/>
        </w:tabs>
        <w:ind w:left="4320" w:hanging="360"/>
      </w:pPr>
      <w:rPr>
        <w:rFonts w:ascii="Wingdings" w:hAnsi="Wingdings" w:hint="default"/>
      </w:rPr>
    </w:lvl>
    <w:lvl w:ilvl="6" w:tplc="26A856C2" w:tentative="1">
      <w:start w:val="1"/>
      <w:numFmt w:val="bullet"/>
      <w:lvlText w:val=""/>
      <w:lvlJc w:val="left"/>
      <w:pPr>
        <w:tabs>
          <w:tab w:val="num" w:pos="5040"/>
        </w:tabs>
        <w:ind w:left="5040" w:hanging="360"/>
      </w:pPr>
      <w:rPr>
        <w:rFonts w:ascii="Wingdings" w:hAnsi="Wingdings" w:hint="default"/>
      </w:rPr>
    </w:lvl>
    <w:lvl w:ilvl="7" w:tplc="AE322036" w:tentative="1">
      <w:start w:val="1"/>
      <w:numFmt w:val="bullet"/>
      <w:lvlText w:val=""/>
      <w:lvlJc w:val="left"/>
      <w:pPr>
        <w:tabs>
          <w:tab w:val="num" w:pos="5760"/>
        </w:tabs>
        <w:ind w:left="5760" w:hanging="360"/>
      </w:pPr>
      <w:rPr>
        <w:rFonts w:ascii="Wingdings" w:hAnsi="Wingdings" w:hint="default"/>
      </w:rPr>
    </w:lvl>
    <w:lvl w:ilvl="8" w:tplc="0AA6BF42" w:tentative="1">
      <w:start w:val="1"/>
      <w:numFmt w:val="bullet"/>
      <w:lvlText w:val=""/>
      <w:lvlJc w:val="left"/>
      <w:pPr>
        <w:tabs>
          <w:tab w:val="num" w:pos="6480"/>
        </w:tabs>
        <w:ind w:left="6480" w:hanging="360"/>
      </w:pPr>
      <w:rPr>
        <w:rFonts w:ascii="Wingdings" w:hAnsi="Wingdings" w:hint="default"/>
      </w:rPr>
    </w:lvl>
  </w:abstractNum>
  <w:abstractNum w:abstractNumId="11">
    <w:nsid w:val="5DDF71B9"/>
    <w:multiLevelType w:val="hybridMultilevel"/>
    <w:tmpl w:val="1CE00C5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6011245C"/>
    <w:multiLevelType w:val="hybridMultilevel"/>
    <w:tmpl w:val="D088A84E"/>
    <w:lvl w:ilvl="0" w:tplc="04050005">
      <w:start w:val="1"/>
      <w:numFmt w:val="bullet"/>
      <w:lvlText w:val=""/>
      <w:lvlJc w:val="left"/>
      <w:pPr>
        <w:ind w:left="1428" w:hanging="360"/>
      </w:pPr>
      <w:rPr>
        <w:rFonts w:ascii="Wingdings" w:hAnsi="Wingdings" w:hint="default"/>
      </w:rPr>
    </w:lvl>
    <w:lvl w:ilvl="1" w:tplc="04050003">
      <w:start w:val="1"/>
      <w:numFmt w:val="bullet"/>
      <w:lvlText w:val="o"/>
      <w:lvlJc w:val="left"/>
      <w:pPr>
        <w:ind w:left="2148" w:hanging="360"/>
      </w:pPr>
      <w:rPr>
        <w:rFonts w:ascii="Courier New" w:hAnsi="Courier New" w:hint="default"/>
      </w:rPr>
    </w:lvl>
    <w:lvl w:ilvl="2" w:tplc="04050005">
      <w:start w:val="1"/>
      <w:numFmt w:val="bullet"/>
      <w:lvlText w:val=""/>
      <w:lvlJc w:val="left"/>
      <w:pPr>
        <w:ind w:left="2868" w:hanging="360"/>
      </w:pPr>
      <w:rPr>
        <w:rFonts w:ascii="Wingdings" w:hAnsi="Wingdings" w:hint="default"/>
      </w:rPr>
    </w:lvl>
    <w:lvl w:ilvl="3" w:tplc="04050001">
      <w:start w:val="1"/>
      <w:numFmt w:val="bullet"/>
      <w:lvlText w:val=""/>
      <w:lvlJc w:val="left"/>
      <w:pPr>
        <w:ind w:left="3588" w:hanging="360"/>
      </w:pPr>
      <w:rPr>
        <w:rFonts w:ascii="Symbol" w:hAnsi="Symbol" w:hint="default"/>
      </w:rPr>
    </w:lvl>
    <w:lvl w:ilvl="4" w:tplc="04050003">
      <w:start w:val="1"/>
      <w:numFmt w:val="bullet"/>
      <w:lvlText w:val="o"/>
      <w:lvlJc w:val="left"/>
      <w:pPr>
        <w:ind w:left="4308" w:hanging="360"/>
      </w:pPr>
      <w:rPr>
        <w:rFonts w:ascii="Courier New" w:hAnsi="Courier New" w:hint="default"/>
      </w:rPr>
    </w:lvl>
    <w:lvl w:ilvl="5" w:tplc="04050005">
      <w:start w:val="1"/>
      <w:numFmt w:val="bullet"/>
      <w:lvlText w:val=""/>
      <w:lvlJc w:val="left"/>
      <w:pPr>
        <w:ind w:left="5028" w:hanging="360"/>
      </w:pPr>
      <w:rPr>
        <w:rFonts w:ascii="Wingdings" w:hAnsi="Wingdings" w:hint="default"/>
      </w:rPr>
    </w:lvl>
    <w:lvl w:ilvl="6" w:tplc="04050001">
      <w:start w:val="1"/>
      <w:numFmt w:val="bullet"/>
      <w:lvlText w:val=""/>
      <w:lvlJc w:val="left"/>
      <w:pPr>
        <w:ind w:left="5748" w:hanging="360"/>
      </w:pPr>
      <w:rPr>
        <w:rFonts w:ascii="Symbol" w:hAnsi="Symbol" w:hint="default"/>
      </w:rPr>
    </w:lvl>
    <w:lvl w:ilvl="7" w:tplc="04050003">
      <w:start w:val="1"/>
      <w:numFmt w:val="bullet"/>
      <w:lvlText w:val="o"/>
      <w:lvlJc w:val="left"/>
      <w:pPr>
        <w:ind w:left="6468" w:hanging="360"/>
      </w:pPr>
      <w:rPr>
        <w:rFonts w:ascii="Courier New" w:hAnsi="Courier New" w:hint="default"/>
      </w:rPr>
    </w:lvl>
    <w:lvl w:ilvl="8" w:tplc="04050005">
      <w:start w:val="1"/>
      <w:numFmt w:val="bullet"/>
      <w:lvlText w:val=""/>
      <w:lvlJc w:val="left"/>
      <w:pPr>
        <w:ind w:left="7188" w:hanging="360"/>
      </w:pPr>
      <w:rPr>
        <w:rFonts w:ascii="Wingdings" w:hAnsi="Wingdings" w:hint="default"/>
      </w:rPr>
    </w:lvl>
  </w:abstractNum>
  <w:abstractNum w:abstractNumId="13">
    <w:nsid w:val="608C23E8"/>
    <w:multiLevelType w:val="hybridMultilevel"/>
    <w:tmpl w:val="6AACD4BC"/>
    <w:lvl w:ilvl="0" w:tplc="DF3817C6">
      <w:start w:val="1"/>
      <w:numFmt w:val="bullet"/>
      <w:lvlText w:val=""/>
      <w:lvlJc w:val="left"/>
      <w:pPr>
        <w:tabs>
          <w:tab w:val="num" w:pos="720"/>
        </w:tabs>
        <w:ind w:left="720" w:hanging="360"/>
      </w:pPr>
      <w:rPr>
        <w:rFonts w:ascii="Wingdings" w:hAnsi="Wingdings" w:hint="default"/>
      </w:rPr>
    </w:lvl>
    <w:lvl w:ilvl="1" w:tplc="4DCAA2A0" w:tentative="1">
      <w:start w:val="1"/>
      <w:numFmt w:val="bullet"/>
      <w:lvlText w:val=""/>
      <w:lvlJc w:val="left"/>
      <w:pPr>
        <w:tabs>
          <w:tab w:val="num" w:pos="1440"/>
        </w:tabs>
        <w:ind w:left="1440" w:hanging="360"/>
      </w:pPr>
      <w:rPr>
        <w:rFonts w:ascii="Wingdings" w:hAnsi="Wingdings" w:hint="default"/>
      </w:rPr>
    </w:lvl>
    <w:lvl w:ilvl="2" w:tplc="48BE0566" w:tentative="1">
      <w:start w:val="1"/>
      <w:numFmt w:val="bullet"/>
      <w:lvlText w:val=""/>
      <w:lvlJc w:val="left"/>
      <w:pPr>
        <w:tabs>
          <w:tab w:val="num" w:pos="2160"/>
        </w:tabs>
        <w:ind w:left="2160" w:hanging="360"/>
      </w:pPr>
      <w:rPr>
        <w:rFonts w:ascii="Wingdings" w:hAnsi="Wingdings" w:hint="default"/>
      </w:rPr>
    </w:lvl>
    <w:lvl w:ilvl="3" w:tplc="6F6855B4" w:tentative="1">
      <w:start w:val="1"/>
      <w:numFmt w:val="bullet"/>
      <w:lvlText w:val=""/>
      <w:lvlJc w:val="left"/>
      <w:pPr>
        <w:tabs>
          <w:tab w:val="num" w:pos="2880"/>
        </w:tabs>
        <w:ind w:left="2880" w:hanging="360"/>
      </w:pPr>
      <w:rPr>
        <w:rFonts w:ascii="Wingdings" w:hAnsi="Wingdings" w:hint="default"/>
      </w:rPr>
    </w:lvl>
    <w:lvl w:ilvl="4" w:tplc="2F0E7B94" w:tentative="1">
      <w:start w:val="1"/>
      <w:numFmt w:val="bullet"/>
      <w:lvlText w:val=""/>
      <w:lvlJc w:val="left"/>
      <w:pPr>
        <w:tabs>
          <w:tab w:val="num" w:pos="3600"/>
        </w:tabs>
        <w:ind w:left="3600" w:hanging="360"/>
      </w:pPr>
      <w:rPr>
        <w:rFonts w:ascii="Wingdings" w:hAnsi="Wingdings" w:hint="default"/>
      </w:rPr>
    </w:lvl>
    <w:lvl w:ilvl="5" w:tplc="785AB1FC" w:tentative="1">
      <w:start w:val="1"/>
      <w:numFmt w:val="bullet"/>
      <w:lvlText w:val=""/>
      <w:lvlJc w:val="left"/>
      <w:pPr>
        <w:tabs>
          <w:tab w:val="num" w:pos="4320"/>
        </w:tabs>
        <w:ind w:left="4320" w:hanging="360"/>
      </w:pPr>
      <w:rPr>
        <w:rFonts w:ascii="Wingdings" w:hAnsi="Wingdings" w:hint="default"/>
      </w:rPr>
    </w:lvl>
    <w:lvl w:ilvl="6" w:tplc="7F38EEDA" w:tentative="1">
      <w:start w:val="1"/>
      <w:numFmt w:val="bullet"/>
      <w:lvlText w:val=""/>
      <w:lvlJc w:val="left"/>
      <w:pPr>
        <w:tabs>
          <w:tab w:val="num" w:pos="5040"/>
        </w:tabs>
        <w:ind w:left="5040" w:hanging="360"/>
      </w:pPr>
      <w:rPr>
        <w:rFonts w:ascii="Wingdings" w:hAnsi="Wingdings" w:hint="default"/>
      </w:rPr>
    </w:lvl>
    <w:lvl w:ilvl="7" w:tplc="C61803DC" w:tentative="1">
      <w:start w:val="1"/>
      <w:numFmt w:val="bullet"/>
      <w:lvlText w:val=""/>
      <w:lvlJc w:val="left"/>
      <w:pPr>
        <w:tabs>
          <w:tab w:val="num" w:pos="5760"/>
        </w:tabs>
        <w:ind w:left="5760" w:hanging="360"/>
      </w:pPr>
      <w:rPr>
        <w:rFonts w:ascii="Wingdings" w:hAnsi="Wingdings" w:hint="default"/>
      </w:rPr>
    </w:lvl>
    <w:lvl w:ilvl="8" w:tplc="71123A6C" w:tentative="1">
      <w:start w:val="1"/>
      <w:numFmt w:val="bullet"/>
      <w:lvlText w:val=""/>
      <w:lvlJc w:val="left"/>
      <w:pPr>
        <w:tabs>
          <w:tab w:val="num" w:pos="6480"/>
        </w:tabs>
        <w:ind w:left="6480" w:hanging="360"/>
      </w:pPr>
      <w:rPr>
        <w:rFonts w:ascii="Wingdings" w:hAnsi="Wingdings" w:hint="default"/>
      </w:rPr>
    </w:lvl>
  </w:abstractNum>
  <w:abstractNum w:abstractNumId="14">
    <w:nsid w:val="6A0F0645"/>
    <w:multiLevelType w:val="hybridMultilevel"/>
    <w:tmpl w:val="824C2E86"/>
    <w:lvl w:ilvl="0" w:tplc="3E6C4226">
      <w:start w:val="1"/>
      <w:numFmt w:val="bullet"/>
      <w:lvlText w:val=""/>
      <w:lvlJc w:val="left"/>
      <w:pPr>
        <w:tabs>
          <w:tab w:val="num" w:pos="720"/>
        </w:tabs>
        <w:ind w:left="720" w:hanging="360"/>
      </w:pPr>
      <w:rPr>
        <w:rFonts w:ascii="Wingdings" w:hAnsi="Wingdings" w:hint="default"/>
      </w:rPr>
    </w:lvl>
    <w:lvl w:ilvl="1" w:tplc="0CA0DA3C" w:tentative="1">
      <w:start w:val="1"/>
      <w:numFmt w:val="bullet"/>
      <w:lvlText w:val=""/>
      <w:lvlJc w:val="left"/>
      <w:pPr>
        <w:tabs>
          <w:tab w:val="num" w:pos="1440"/>
        </w:tabs>
        <w:ind w:left="1440" w:hanging="360"/>
      </w:pPr>
      <w:rPr>
        <w:rFonts w:ascii="Wingdings" w:hAnsi="Wingdings" w:hint="default"/>
      </w:rPr>
    </w:lvl>
    <w:lvl w:ilvl="2" w:tplc="A84C0F7C" w:tentative="1">
      <w:start w:val="1"/>
      <w:numFmt w:val="bullet"/>
      <w:lvlText w:val=""/>
      <w:lvlJc w:val="left"/>
      <w:pPr>
        <w:tabs>
          <w:tab w:val="num" w:pos="2160"/>
        </w:tabs>
        <w:ind w:left="2160" w:hanging="360"/>
      </w:pPr>
      <w:rPr>
        <w:rFonts w:ascii="Wingdings" w:hAnsi="Wingdings" w:hint="default"/>
      </w:rPr>
    </w:lvl>
    <w:lvl w:ilvl="3" w:tplc="5D90DBFA" w:tentative="1">
      <w:start w:val="1"/>
      <w:numFmt w:val="bullet"/>
      <w:lvlText w:val=""/>
      <w:lvlJc w:val="left"/>
      <w:pPr>
        <w:tabs>
          <w:tab w:val="num" w:pos="2880"/>
        </w:tabs>
        <w:ind w:left="2880" w:hanging="360"/>
      </w:pPr>
      <w:rPr>
        <w:rFonts w:ascii="Wingdings" w:hAnsi="Wingdings" w:hint="default"/>
      </w:rPr>
    </w:lvl>
    <w:lvl w:ilvl="4" w:tplc="A5A89C3A" w:tentative="1">
      <w:start w:val="1"/>
      <w:numFmt w:val="bullet"/>
      <w:lvlText w:val=""/>
      <w:lvlJc w:val="left"/>
      <w:pPr>
        <w:tabs>
          <w:tab w:val="num" w:pos="3600"/>
        </w:tabs>
        <w:ind w:left="3600" w:hanging="360"/>
      </w:pPr>
      <w:rPr>
        <w:rFonts w:ascii="Wingdings" w:hAnsi="Wingdings" w:hint="default"/>
      </w:rPr>
    </w:lvl>
    <w:lvl w:ilvl="5" w:tplc="CC5A35BA" w:tentative="1">
      <w:start w:val="1"/>
      <w:numFmt w:val="bullet"/>
      <w:lvlText w:val=""/>
      <w:lvlJc w:val="left"/>
      <w:pPr>
        <w:tabs>
          <w:tab w:val="num" w:pos="4320"/>
        </w:tabs>
        <w:ind w:left="4320" w:hanging="360"/>
      </w:pPr>
      <w:rPr>
        <w:rFonts w:ascii="Wingdings" w:hAnsi="Wingdings" w:hint="default"/>
      </w:rPr>
    </w:lvl>
    <w:lvl w:ilvl="6" w:tplc="98D836E4" w:tentative="1">
      <w:start w:val="1"/>
      <w:numFmt w:val="bullet"/>
      <w:lvlText w:val=""/>
      <w:lvlJc w:val="left"/>
      <w:pPr>
        <w:tabs>
          <w:tab w:val="num" w:pos="5040"/>
        </w:tabs>
        <w:ind w:left="5040" w:hanging="360"/>
      </w:pPr>
      <w:rPr>
        <w:rFonts w:ascii="Wingdings" w:hAnsi="Wingdings" w:hint="default"/>
      </w:rPr>
    </w:lvl>
    <w:lvl w:ilvl="7" w:tplc="452E75A0" w:tentative="1">
      <w:start w:val="1"/>
      <w:numFmt w:val="bullet"/>
      <w:lvlText w:val=""/>
      <w:lvlJc w:val="left"/>
      <w:pPr>
        <w:tabs>
          <w:tab w:val="num" w:pos="5760"/>
        </w:tabs>
        <w:ind w:left="5760" w:hanging="360"/>
      </w:pPr>
      <w:rPr>
        <w:rFonts w:ascii="Wingdings" w:hAnsi="Wingdings" w:hint="default"/>
      </w:rPr>
    </w:lvl>
    <w:lvl w:ilvl="8" w:tplc="1EBC7DC4" w:tentative="1">
      <w:start w:val="1"/>
      <w:numFmt w:val="bullet"/>
      <w:lvlText w:val=""/>
      <w:lvlJc w:val="left"/>
      <w:pPr>
        <w:tabs>
          <w:tab w:val="num" w:pos="6480"/>
        </w:tabs>
        <w:ind w:left="6480" w:hanging="360"/>
      </w:pPr>
      <w:rPr>
        <w:rFonts w:ascii="Wingdings" w:hAnsi="Wingdings" w:hint="default"/>
      </w:rPr>
    </w:lvl>
  </w:abstractNum>
  <w:abstractNum w:abstractNumId="15">
    <w:nsid w:val="6F486BD2"/>
    <w:multiLevelType w:val="hybridMultilevel"/>
    <w:tmpl w:val="2CD66D28"/>
    <w:lvl w:ilvl="0" w:tplc="FECEB67C">
      <w:start w:val="1"/>
      <w:numFmt w:val="bullet"/>
      <w:lvlText w:val=""/>
      <w:lvlJc w:val="left"/>
      <w:pPr>
        <w:tabs>
          <w:tab w:val="num" w:pos="720"/>
        </w:tabs>
        <w:ind w:left="720" w:hanging="360"/>
      </w:pPr>
      <w:rPr>
        <w:rFonts w:ascii="Wingdings" w:hAnsi="Wingdings" w:hint="default"/>
      </w:rPr>
    </w:lvl>
    <w:lvl w:ilvl="1" w:tplc="5D482C08" w:tentative="1">
      <w:start w:val="1"/>
      <w:numFmt w:val="bullet"/>
      <w:lvlText w:val=""/>
      <w:lvlJc w:val="left"/>
      <w:pPr>
        <w:tabs>
          <w:tab w:val="num" w:pos="1440"/>
        </w:tabs>
        <w:ind w:left="1440" w:hanging="360"/>
      </w:pPr>
      <w:rPr>
        <w:rFonts w:ascii="Wingdings" w:hAnsi="Wingdings" w:hint="default"/>
      </w:rPr>
    </w:lvl>
    <w:lvl w:ilvl="2" w:tplc="891A13BA" w:tentative="1">
      <w:start w:val="1"/>
      <w:numFmt w:val="bullet"/>
      <w:lvlText w:val=""/>
      <w:lvlJc w:val="left"/>
      <w:pPr>
        <w:tabs>
          <w:tab w:val="num" w:pos="2160"/>
        </w:tabs>
        <w:ind w:left="2160" w:hanging="360"/>
      </w:pPr>
      <w:rPr>
        <w:rFonts w:ascii="Wingdings" w:hAnsi="Wingdings" w:hint="default"/>
      </w:rPr>
    </w:lvl>
    <w:lvl w:ilvl="3" w:tplc="055AC0F4" w:tentative="1">
      <w:start w:val="1"/>
      <w:numFmt w:val="bullet"/>
      <w:lvlText w:val=""/>
      <w:lvlJc w:val="left"/>
      <w:pPr>
        <w:tabs>
          <w:tab w:val="num" w:pos="2880"/>
        </w:tabs>
        <w:ind w:left="2880" w:hanging="360"/>
      </w:pPr>
      <w:rPr>
        <w:rFonts w:ascii="Wingdings" w:hAnsi="Wingdings" w:hint="default"/>
      </w:rPr>
    </w:lvl>
    <w:lvl w:ilvl="4" w:tplc="DF708076" w:tentative="1">
      <w:start w:val="1"/>
      <w:numFmt w:val="bullet"/>
      <w:lvlText w:val=""/>
      <w:lvlJc w:val="left"/>
      <w:pPr>
        <w:tabs>
          <w:tab w:val="num" w:pos="3600"/>
        </w:tabs>
        <w:ind w:left="3600" w:hanging="360"/>
      </w:pPr>
      <w:rPr>
        <w:rFonts w:ascii="Wingdings" w:hAnsi="Wingdings" w:hint="default"/>
      </w:rPr>
    </w:lvl>
    <w:lvl w:ilvl="5" w:tplc="A858D284" w:tentative="1">
      <w:start w:val="1"/>
      <w:numFmt w:val="bullet"/>
      <w:lvlText w:val=""/>
      <w:lvlJc w:val="left"/>
      <w:pPr>
        <w:tabs>
          <w:tab w:val="num" w:pos="4320"/>
        </w:tabs>
        <w:ind w:left="4320" w:hanging="360"/>
      </w:pPr>
      <w:rPr>
        <w:rFonts w:ascii="Wingdings" w:hAnsi="Wingdings" w:hint="default"/>
      </w:rPr>
    </w:lvl>
    <w:lvl w:ilvl="6" w:tplc="B1208872" w:tentative="1">
      <w:start w:val="1"/>
      <w:numFmt w:val="bullet"/>
      <w:lvlText w:val=""/>
      <w:lvlJc w:val="left"/>
      <w:pPr>
        <w:tabs>
          <w:tab w:val="num" w:pos="5040"/>
        </w:tabs>
        <w:ind w:left="5040" w:hanging="360"/>
      </w:pPr>
      <w:rPr>
        <w:rFonts w:ascii="Wingdings" w:hAnsi="Wingdings" w:hint="default"/>
      </w:rPr>
    </w:lvl>
    <w:lvl w:ilvl="7" w:tplc="0C00AC7C" w:tentative="1">
      <w:start w:val="1"/>
      <w:numFmt w:val="bullet"/>
      <w:lvlText w:val=""/>
      <w:lvlJc w:val="left"/>
      <w:pPr>
        <w:tabs>
          <w:tab w:val="num" w:pos="5760"/>
        </w:tabs>
        <w:ind w:left="5760" w:hanging="360"/>
      </w:pPr>
      <w:rPr>
        <w:rFonts w:ascii="Wingdings" w:hAnsi="Wingdings" w:hint="default"/>
      </w:rPr>
    </w:lvl>
    <w:lvl w:ilvl="8" w:tplc="8BE8ECD2" w:tentative="1">
      <w:start w:val="1"/>
      <w:numFmt w:val="bullet"/>
      <w:lvlText w:val=""/>
      <w:lvlJc w:val="left"/>
      <w:pPr>
        <w:tabs>
          <w:tab w:val="num" w:pos="6480"/>
        </w:tabs>
        <w:ind w:left="6480" w:hanging="360"/>
      </w:pPr>
      <w:rPr>
        <w:rFonts w:ascii="Wingdings" w:hAnsi="Wingdings" w:hint="default"/>
      </w:rPr>
    </w:lvl>
  </w:abstractNum>
  <w:abstractNum w:abstractNumId="16">
    <w:nsid w:val="76060A47"/>
    <w:multiLevelType w:val="hybridMultilevel"/>
    <w:tmpl w:val="0C080F9A"/>
    <w:lvl w:ilvl="0" w:tplc="D8EA49C8">
      <w:start w:val="1"/>
      <w:numFmt w:val="bullet"/>
      <w:lvlText w:val=""/>
      <w:lvlJc w:val="left"/>
      <w:pPr>
        <w:tabs>
          <w:tab w:val="num" w:pos="720"/>
        </w:tabs>
        <w:ind w:left="720" w:hanging="360"/>
      </w:pPr>
      <w:rPr>
        <w:rFonts w:ascii="Wingdings" w:hAnsi="Wingdings" w:hint="default"/>
      </w:rPr>
    </w:lvl>
    <w:lvl w:ilvl="1" w:tplc="E32A6BC6" w:tentative="1">
      <w:start w:val="1"/>
      <w:numFmt w:val="bullet"/>
      <w:lvlText w:val=""/>
      <w:lvlJc w:val="left"/>
      <w:pPr>
        <w:tabs>
          <w:tab w:val="num" w:pos="1440"/>
        </w:tabs>
        <w:ind w:left="1440" w:hanging="360"/>
      </w:pPr>
      <w:rPr>
        <w:rFonts w:ascii="Wingdings" w:hAnsi="Wingdings" w:hint="default"/>
      </w:rPr>
    </w:lvl>
    <w:lvl w:ilvl="2" w:tplc="1B527B3A" w:tentative="1">
      <w:start w:val="1"/>
      <w:numFmt w:val="bullet"/>
      <w:lvlText w:val=""/>
      <w:lvlJc w:val="left"/>
      <w:pPr>
        <w:tabs>
          <w:tab w:val="num" w:pos="2160"/>
        </w:tabs>
        <w:ind w:left="2160" w:hanging="360"/>
      </w:pPr>
      <w:rPr>
        <w:rFonts w:ascii="Wingdings" w:hAnsi="Wingdings" w:hint="default"/>
      </w:rPr>
    </w:lvl>
    <w:lvl w:ilvl="3" w:tplc="BF68A4C6" w:tentative="1">
      <w:start w:val="1"/>
      <w:numFmt w:val="bullet"/>
      <w:lvlText w:val=""/>
      <w:lvlJc w:val="left"/>
      <w:pPr>
        <w:tabs>
          <w:tab w:val="num" w:pos="2880"/>
        </w:tabs>
        <w:ind w:left="2880" w:hanging="360"/>
      </w:pPr>
      <w:rPr>
        <w:rFonts w:ascii="Wingdings" w:hAnsi="Wingdings" w:hint="default"/>
      </w:rPr>
    </w:lvl>
    <w:lvl w:ilvl="4" w:tplc="CED41B9A" w:tentative="1">
      <w:start w:val="1"/>
      <w:numFmt w:val="bullet"/>
      <w:lvlText w:val=""/>
      <w:lvlJc w:val="left"/>
      <w:pPr>
        <w:tabs>
          <w:tab w:val="num" w:pos="3600"/>
        </w:tabs>
        <w:ind w:left="3600" w:hanging="360"/>
      </w:pPr>
      <w:rPr>
        <w:rFonts w:ascii="Wingdings" w:hAnsi="Wingdings" w:hint="default"/>
      </w:rPr>
    </w:lvl>
    <w:lvl w:ilvl="5" w:tplc="67A46136" w:tentative="1">
      <w:start w:val="1"/>
      <w:numFmt w:val="bullet"/>
      <w:lvlText w:val=""/>
      <w:lvlJc w:val="left"/>
      <w:pPr>
        <w:tabs>
          <w:tab w:val="num" w:pos="4320"/>
        </w:tabs>
        <w:ind w:left="4320" w:hanging="360"/>
      </w:pPr>
      <w:rPr>
        <w:rFonts w:ascii="Wingdings" w:hAnsi="Wingdings" w:hint="default"/>
      </w:rPr>
    </w:lvl>
    <w:lvl w:ilvl="6" w:tplc="B89A9798" w:tentative="1">
      <w:start w:val="1"/>
      <w:numFmt w:val="bullet"/>
      <w:lvlText w:val=""/>
      <w:lvlJc w:val="left"/>
      <w:pPr>
        <w:tabs>
          <w:tab w:val="num" w:pos="5040"/>
        </w:tabs>
        <w:ind w:left="5040" w:hanging="360"/>
      </w:pPr>
      <w:rPr>
        <w:rFonts w:ascii="Wingdings" w:hAnsi="Wingdings" w:hint="default"/>
      </w:rPr>
    </w:lvl>
    <w:lvl w:ilvl="7" w:tplc="4768C9C4" w:tentative="1">
      <w:start w:val="1"/>
      <w:numFmt w:val="bullet"/>
      <w:lvlText w:val=""/>
      <w:lvlJc w:val="left"/>
      <w:pPr>
        <w:tabs>
          <w:tab w:val="num" w:pos="5760"/>
        </w:tabs>
        <w:ind w:left="5760" w:hanging="360"/>
      </w:pPr>
      <w:rPr>
        <w:rFonts w:ascii="Wingdings" w:hAnsi="Wingdings" w:hint="default"/>
      </w:rPr>
    </w:lvl>
    <w:lvl w:ilvl="8" w:tplc="10828E7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6"/>
  </w:num>
  <w:num w:numId="4">
    <w:abstractNumId w:val="10"/>
  </w:num>
  <w:num w:numId="5">
    <w:abstractNumId w:val="13"/>
  </w:num>
  <w:num w:numId="6">
    <w:abstractNumId w:val="6"/>
  </w:num>
  <w:num w:numId="7">
    <w:abstractNumId w:val="5"/>
  </w:num>
  <w:num w:numId="8">
    <w:abstractNumId w:val="15"/>
  </w:num>
  <w:num w:numId="9">
    <w:abstractNumId w:val="9"/>
  </w:num>
  <w:num w:numId="10">
    <w:abstractNumId w:val="14"/>
  </w:num>
  <w:num w:numId="11">
    <w:abstractNumId w:val="2"/>
  </w:num>
  <w:num w:numId="12">
    <w:abstractNumId w:val="0"/>
  </w:num>
  <w:num w:numId="13">
    <w:abstractNumId w:val="8"/>
  </w:num>
  <w:num w:numId="14">
    <w:abstractNumId w:val="7"/>
  </w:num>
  <w:num w:numId="15">
    <w:abstractNumId w:val="3"/>
  </w:num>
  <w:num w:numId="16">
    <w:abstractNumId w:val="4"/>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documentProtection w:edit="forms" w:enforcement="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6CC4"/>
    <w:rsid w:val="00001DEB"/>
    <w:rsid w:val="00013C35"/>
    <w:rsid w:val="000156CE"/>
    <w:rsid w:val="00026213"/>
    <w:rsid w:val="000270AD"/>
    <w:rsid w:val="000318F6"/>
    <w:rsid w:val="000543E8"/>
    <w:rsid w:val="00063BC8"/>
    <w:rsid w:val="0007169B"/>
    <w:rsid w:val="00072F68"/>
    <w:rsid w:val="00091BC3"/>
    <w:rsid w:val="00093743"/>
    <w:rsid w:val="000942F2"/>
    <w:rsid w:val="000B1059"/>
    <w:rsid w:val="000B3877"/>
    <w:rsid w:val="000C45E5"/>
    <w:rsid w:val="000D2D7E"/>
    <w:rsid w:val="000E0CAC"/>
    <w:rsid w:val="000F3353"/>
    <w:rsid w:val="000F66ED"/>
    <w:rsid w:val="00132FB8"/>
    <w:rsid w:val="00141C29"/>
    <w:rsid w:val="00144303"/>
    <w:rsid w:val="001674DA"/>
    <w:rsid w:val="00167B4E"/>
    <w:rsid w:val="00195EE9"/>
    <w:rsid w:val="001A64F2"/>
    <w:rsid w:val="001B3957"/>
    <w:rsid w:val="001C6CC4"/>
    <w:rsid w:val="001C7165"/>
    <w:rsid w:val="001D10FA"/>
    <w:rsid w:val="001D2607"/>
    <w:rsid w:val="001D565E"/>
    <w:rsid w:val="001E23B6"/>
    <w:rsid w:val="001E376A"/>
    <w:rsid w:val="001E37AC"/>
    <w:rsid w:val="001F5C37"/>
    <w:rsid w:val="001F6E1D"/>
    <w:rsid w:val="00212538"/>
    <w:rsid w:val="0021501A"/>
    <w:rsid w:val="00223519"/>
    <w:rsid w:val="00224708"/>
    <w:rsid w:val="0022505B"/>
    <w:rsid w:val="002327FA"/>
    <w:rsid w:val="00241480"/>
    <w:rsid w:val="00242386"/>
    <w:rsid w:val="00254480"/>
    <w:rsid w:val="0026695A"/>
    <w:rsid w:val="00274111"/>
    <w:rsid w:val="00281445"/>
    <w:rsid w:val="00285F23"/>
    <w:rsid w:val="0029106E"/>
    <w:rsid w:val="002A3B33"/>
    <w:rsid w:val="002B3CC0"/>
    <w:rsid w:val="002D0DD6"/>
    <w:rsid w:val="002D16B5"/>
    <w:rsid w:val="002E78DE"/>
    <w:rsid w:val="002E7C81"/>
    <w:rsid w:val="002F754C"/>
    <w:rsid w:val="003035B5"/>
    <w:rsid w:val="00307C31"/>
    <w:rsid w:val="00311FEF"/>
    <w:rsid w:val="003157D8"/>
    <w:rsid w:val="00352046"/>
    <w:rsid w:val="00352F80"/>
    <w:rsid w:val="00353144"/>
    <w:rsid w:val="00355786"/>
    <w:rsid w:val="00357902"/>
    <w:rsid w:val="00360F88"/>
    <w:rsid w:val="00361FFD"/>
    <w:rsid w:val="00376101"/>
    <w:rsid w:val="00381D12"/>
    <w:rsid w:val="00381FDB"/>
    <w:rsid w:val="00390FBD"/>
    <w:rsid w:val="00392923"/>
    <w:rsid w:val="003951EB"/>
    <w:rsid w:val="00396DBD"/>
    <w:rsid w:val="00396EBE"/>
    <w:rsid w:val="003A52BB"/>
    <w:rsid w:val="003A7C5A"/>
    <w:rsid w:val="003B3749"/>
    <w:rsid w:val="003B544B"/>
    <w:rsid w:val="003C04C7"/>
    <w:rsid w:val="003C56F5"/>
    <w:rsid w:val="003C7937"/>
    <w:rsid w:val="003E42DA"/>
    <w:rsid w:val="003F4B9C"/>
    <w:rsid w:val="004047FF"/>
    <w:rsid w:val="00406A16"/>
    <w:rsid w:val="00412A00"/>
    <w:rsid w:val="004251E4"/>
    <w:rsid w:val="0044051A"/>
    <w:rsid w:val="00443DD9"/>
    <w:rsid w:val="00446AFA"/>
    <w:rsid w:val="004479FF"/>
    <w:rsid w:val="004514D5"/>
    <w:rsid w:val="004541BE"/>
    <w:rsid w:val="0046203D"/>
    <w:rsid w:val="004662E3"/>
    <w:rsid w:val="00472AB5"/>
    <w:rsid w:val="00473527"/>
    <w:rsid w:val="0047392D"/>
    <w:rsid w:val="0047432F"/>
    <w:rsid w:val="00475ECB"/>
    <w:rsid w:val="00493BA2"/>
    <w:rsid w:val="00497EA3"/>
    <w:rsid w:val="004A59B2"/>
    <w:rsid w:val="004A5AE1"/>
    <w:rsid w:val="004A7372"/>
    <w:rsid w:val="004B16C6"/>
    <w:rsid w:val="004C7B2B"/>
    <w:rsid w:val="004E2F6F"/>
    <w:rsid w:val="004F7ED4"/>
    <w:rsid w:val="00514FD1"/>
    <w:rsid w:val="00523BF1"/>
    <w:rsid w:val="00523D13"/>
    <w:rsid w:val="00524408"/>
    <w:rsid w:val="00527BC9"/>
    <w:rsid w:val="00535F60"/>
    <w:rsid w:val="0054112B"/>
    <w:rsid w:val="00543103"/>
    <w:rsid w:val="00547122"/>
    <w:rsid w:val="0055262C"/>
    <w:rsid w:val="005617E8"/>
    <w:rsid w:val="00563633"/>
    <w:rsid w:val="005656A4"/>
    <w:rsid w:val="005A1443"/>
    <w:rsid w:val="005A49BF"/>
    <w:rsid w:val="005A5BBF"/>
    <w:rsid w:val="005A6A2D"/>
    <w:rsid w:val="005D1B54"/>
    <w:rsid w:val="005D5581"/>
    <w:rsid w:val="005F702F"/>
    <w:rsid w:val="0060491A"/>
    <w:rsid w:val="0062439A"/>
    <w:rsid w:val="0062681A"/>
    <w:rsid w:val="00634FB7"/>
    <w:rsid w:val="006409A7"/>
    <w:rsid w:val="00646A63"/>
    <w:rsid w:val="00653EE4"/>
    <w:rsid w:val="00677BF8"/>
    <w:rsid w:val="00682E41"/>
    <w:rsid w:val="0068465D"/>
    <w:rsid w:val="0068676A"/>
    <w:rsid w:val="00696343"/>
    <w:rsid w:val="006A2118"/>
    <w:rsid w:val="006A3F6D"/>
    <w:rsid w:val="006B178F"/>
    <w:rsid w:val="006B312C"/>
    <w:rsid w:val="006C1C8C"/>
    <w:rsid w:val="006C2E96"/>
    <w:rsid w:val="006C3AF0"/>
    <w:rsid w:val="006D21EA"/>
    <w:rsid w:val="006D40DA"/>
    <w:rsid w:val="006D7499"/>
    <w:rsid w:val="006E055F"/>
    <w:rsid w:val="006E278D"/>
    <w:rsid w:val="006E41ED"/>
    <w:rsid w:val="006F66F5"/>
    <w:rsid w:val="006F6E9D"/>
    <w:rsid w:val="00702306"/>
    <w:rsid w:val="00711835"/>
    <w:rsid w:val="00735580"/>
    <w:rsid w:val="007359F2"/>
    <w:rsid w:val="007613B6"/>
    <w:rsid w:val="00765491"/>
    <w:rsid w:val="00776FAE"/>
    <w:rsid w:val="007806F8"/>
    <w:rsid w:val="00781AE4"/>
    <w:rsid w:val="00783A9A"/>
    <w:rsid w:val="00792230"/>
    <w:rsid w:val="00793788"/>
    <w:rsid w:val="0079379E"/>
    <w:rsid w:val="00797820"/>
    <w:rsid w:val="007A0E6A"/>
    <w:rsid w:val="007A3A45"/>
    <w:rsid w:val="007C1376"/>
    <w:rsid w:val="007C2041"/>
    <w:rsid w:val="007D5D4C"/>
    <w:rsid w:val="007D683F"/>
    <w:rsid w:val="007E2443"/>
    <w:rsid w:val="007F214A"/>
    <w:rsid w:val="007F719F"/>
    <w:rsid w:val="00805F5D"/>
    <w:rsid w:val="00810087"/>
    <w:rsid w:val="008140AC"/>
    <w:rsid w:val="00817C76"/>
    <w:rsid w:val="008229DA"/>
    <w:rsid w:val="00827112"/>
    <w:rsid w:val="00833D6C"/>
    <w:rsid w:val="0084172A"/>
    <w:rsid w:val="00846368"/>
    <w:rsid w:val="00853F83"/>
    <w:rsid w:val="00857483"/>
    <w:rsid w:val="00882254"/>
    <w:rsid w:val="008A63FA"/>
    <w:rsid w:val="008B2521"/>
    <w:rsid w:val="008C0008"/>
    <w:rsid w:val="008C59AB"/>
    <w:rsid w:val="008D6327"/>
    <w:rsid w:val="008D71D3"/>
    <w:rsid w:val="008E1DB6"/>
    <w:rsid w:val="008E314F"/>
    <w:rsid w:val="008E3ABF"/>
    <w:rsid w:val="008E5140"/>
    <w:rsid w:val="008E5504"/>
    <w:rsid w:val="00901C1F"/>
    <w:rsid w:val="00910F0B"/>
    <w:rsid w:val="00917EB4"/>
    <w:rsid w:val="00920C21"/>
    <w:rsid w:val="00924383"/>
    <w:rsid w:val="009272F0"/>
    <w:rsid w:val="00933B15"/>
    <w:rsid w:val="00933DA4"/>
    <w:rsid w:val="009459A4"/>
    <w:rsid w:val="00956AB3"/>
    <w:rsid w:val="00961CB2"/>
    <w:rsid w:val="00971C27"/>
    <w:rsid w:val="009761A4"/>
    <w:rsid w:val="00983172"/>
    <w:rsid w:val="0098324C"/>
    <w:rsid w:val="00991DB0"/>
    <w:rsid w:val="00996213"/>
    <w:rsid w:val="009A128E"/>
    <w:rsid w:val="009A1D73"/>
    <w:rsid w:val="009A3B1D"/>
    <w:rsid w:val="009A4436"/>
    <w:rsid w:val="009A5662"/>
    <w:rsid w:val="009A70D7"/>
    <w:rsid w:val="009C3DFA"/>
    <w:rsid w:val="009E5F4A"/>
    <w:rsid w:val="009E6355"/>
    <w:rsid w:val="009F22B5"/>
    <w:rsid w:val="00A01C40"/>
    <w:rsid w:val="00A121DB"/>
    <w:rsid w:val="00A2178D"/>
    <w:rsid w:val="00A324DB"/>
    <w:rsid w:val="00A530A1"/>
    <w:rsid w:val="00A7209B"/>
    <w:rsid w:val="00A90DD3"/>
    <w:rsid w:val="00AA07C4"/>
    <w:rsid w:val="00AB42EF"/>
    <w:rsid w:val="00AB4B22"/>
    <w:rsid w:val="00AC4BE7"/>
    <w:rsid w:val="00AC76F2"/>
    <w:rsid w:val="00AE113B"/>
    <w:rsid w:val="00AE620B"/>
    <w:rsid w:val="00AF686F"/>
    <w:rsid w:val="00B03095"/>
    <w:rsid w:val="00B10660"/>
    <w:rsid w:val="00B16A45"/>
    <w:rsid w:val="00B174C2"/>
    <w:rsid w:val="00B2185E"/>
    <w:rsid w:val="00B2495A"/>
    <w:rsid w:val="00B265E2"/>
    <w:rsid w:val="00B412EE"/>
    <w:rsid w:val="00B57743"/>
    <w:rsid w:val="00B67A45"/>
    <w:rsid w:val="00B723F7"/>
    <w:rsid w:val="00B94443"/>
    <w:rsid w:val="00B9552F"/>
    <w:rsid w:val="00BB3290"/>
    <w:rsid w:val="00BC33EC"/>
    <w:rsid w:val="00BD5344"/>
    <w:rsid w:val="00BE66CD"/>
    <w:rsid w:val="00BE6F77"/>
    <w:rsid w:val="00BF7628"/>
    <w:rsid w:val="00C04C36"/>
    <w:rsid w:val="00C05308"/>
    <w:rsid w:val="00C06E28"/>
    <w:rsid w:val="00C158DE"/>
    <w:rsid w:val="00C60FA8"/>
    <w:rsid w:val="00C66336"/>
    <w:rsid w:val="00C66857"/>
    <w:rsid w:val="00C71601"/>
    <w:rsid w:val="00C77FED"/>
    <w:rsid w:val="00C81D0C"/>
    <w:rsid w:val="00C81F47"/>
    <w:rsid w:val="00C941EB"/>
    <w:rsid w:val="00C96DDE"/>
    <w:rsid w:val="00CA0D7C"/>
    <w:rsid w:val="00CB0CA0"/>
    <w:rsid w:val="00CC7C35"/>
    <w:rsid w:val="00CC7C84"/>
    <w:rsid w:val="00CD02E1"/>
    <w:rsid w:val="00CD089F"/>
    <w:rsid w:val="00CD4FD0"/>
    <w:rsid w:val="00CD672E"/>
    <w:rsid w:val="00CD7C78"/>
    <w:rsid w:val="00CE05EE"/>
    <w:rsid w:val="00CE5791"/>
    <w:rsid w:val="00CE649A"/>
    <w:rsid w:val="00CF0E6E"/>
    <w:rsid w:val="00CF3001"/>
    <w:rsid w:val="00CF5B27"/>
    <w:rsid w:val="00D003A2"/>
    <w:rsid w:val="00D00BB0"/>
    <w:rsid w:val="00D034AC"/>
    <w:rsid w:val="00D1229A"/>
    <w:rsid w:val="00D15D0C"/>
    <w:rsid w:val="00D16B0E"/>
    <w:rsid w:val="00D25D7A"/>
    <w:rsid w:val="00D463D0"/>
    <w:rsid w:val="00D46838"/>
    <w:rsid w:val="00D50C85"/>
    <w:rsid w:val="00D60B88"/>
    <w:rsid w:val="00D72645"/>
    <w:rsid w:val="00D81A31"/>
    <w:rsid w:val="00D81A81"/>
    <w:rsid w:val="00D8695F"/>
    <w:rsid w:val="00D95CAA"/>
    <w:rsid w:val="00DB0A63"/>
    <w:rsid w:val="00DB2358"/>
    <w:rsid w:val="00DB6119"/>
    <w:rsid w:val="00DB7517"/>
    <w:rsid w:val="00DC69A4"/>
    <w:rsid w:val="00DD2235"/>
    <w:rsid w:val="00DE011B"/>
    <w:rsid w:val="00DE36DC"/>
    <w:rsid w:val="00DE5CB6"/>
    <w:rsid w:val="00DE7770"/>
    <w:rsid w:val="00DF33E0"/>
    <w:rsid w:val="00DF4DF3"/>
    <w:rsid w:val="00E00FB9"/>
    <w:rsid w:val="00E04D64"/>
    <w:rsid w:val="00E05A08"/>
    <w:rsid w:val="00E15203"/>
    <w:rsid w:val="00E30DE1"/>
    <w:rsid w:val="00E50EF3"/>
    <w:rsid w:val="00E53BF2"/>
    <w:rsid w:val="00E626E9"/>
    <w:rsid w:val="00E67C41"/>
    <w:rsid w:val="00E735B2"/>
    <w:rsid w:val="00E73A04"/>
    <w:rsid w:val="00E825CC"/>
    <w:rsid w:val="00E877A9"/>
    <w:rsid w:val="00EA7379"/>
    <w:rsid w:val="00EE13B7"/>
    <w:rsid w:val="00EF42A9"/>
    <w:rsid w:val="00EF706E"/>
    <w:rsid w:val="00F00BC0"/>
    <w:rsid w:val="00F019FC"/>
    <w:rsid w:val="00F06D71"/>
    <w:rsid w:val="00F14BA5"/>
    <w:rsid w:val="00F157CE"/>
    <w:rsid w:val="00F158E0"/>
    <w:rsid w:val="00F163FA"/>
    <w:rsid w:val="00F2762C"/>
    <w:rsid w:val="00F47658"/>
    <w:rsid w:val="00F57DEE"/>
    <w:rsid w:val="00F622CF"/>
    <w:rsid w:val="00F64C85"/>
    <w:rsid w:val="00F725FD"/>
    <w:rsid w:val="00F83420"/>
    <w:rsid w:val="00F83632"/>
    <w:rsid w:val="00F86FC6"/>
    <w:rsid w:val="00FA1078"/>
    <w:rsid w:val="00FB0E77"/>
    <w:rsid w:val="00FB0EDF"/>
    <w:rsid w:val="00FB62A5"/>
    <w:rsid w:val="00FC08AC"/>
    <w:rsid w:val="00FC4F5B"/>
    <w:rsid w:val="00FD2FA1"/>
    <w:rsid w:val="00FD595A"/>
    <w:rsid w:val="00FD60C5"/>
    <w:rsid w:val="00FE4DF4"/>
    <w:rsid w:val="00FF77D1"/>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CAA"/>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A566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A5662"/>
    <w:rPr>
      <w:rFonts w:ascii="Tahoma" w:hAnsi="Tahoma" w:cs="Tahoma"/>
      <w:sz w:val="16"/>
      <w:szCs w:val="16"/>
      <w:lang w:eastAsia="cs-CZ"/>
    </w:rPr>
  </w:style>
  <w:style w:type="paragraph" w:styleId="Header">
    <w:name w:val="header"/>
    <w:basedOn w:val="Normal"/>
    <w:link w:val="HeaderChar"/>
    <w:uiPriority w:val="99"/>
    <w:rsid w:val="00242386"/>
    <w:pPr>
      <w:tabs>
        <w:tab w:val="center" w:pos="4536"/>
        <w:tab w:val="right" w:pos="9072"/>
      </w:tabs>
    </w:pPr>
  </w:style>
  <w:style w:type="character" w:customStyle="1" w:styleId="HeaderChar">
    <w:name w:val="Header Char"/>
    <w:basedOn w:val="DefaultParagraphFont"/>
    <w:link w:val="Header"/>
    <w:uiPriority w:val="99"/>
    <w:locked/>
    <w:rsid w:val="00242386"/>
    <w:rPr>
      <w:rFonts w:ascii="Times New Roman" w:hAnsi="Times New Roman" w:cs="Times New Roman"/>
      <w:sz w:val="24"/>
      <w:szCs w:val="24"/>
      <w:lang w:eastAsia="cs-CZ"/>
    </w:rPr>
  </w:style>
  <w:style w:type="paragraph" w:styleId="Footer">
    <w:name w:val="footer"/>
    <w:basedOn w:val="Normal"/>
    <w:link w:val="FooterChar"/>
    <w:uiPriority w:val="99"/>
    <w:rsid w:val="00242386"/>
    <w:pPr>
      <w:tabs>
        <w:tab w:val="center" w:pos="4536"/>
        <w:tab w:val="right" w:pos="9072"/>
      </w:tabs>
    </w:pPr>
  </w:style>
  <w:style w:type="character" w:customStyle="1" w:styleId="FooterChar">
    <w:name w:val="Footer Char"/>
    <w:basedOn w:val="DefaultParagraphFont"/>
    <w:link w:val="Footer"/>
    <w:uiPriority w:val="99"/>
    <w:locked/>
    <w:rsid w:val="00242386"/>
    <w:rPr>
      <w:rFonts w:ascii="Times New Roman" w:hAnsi="Times New Roman" w:cs="Times New Roman"/>
      <w:sz w:val="24"/>
      <w:szCs w:val="24"/>
      <w:lang w:eastAsia="cs-CZ"/>
    </w:rPr>
  </w:style>
  <w:style w:type="paragraph" w:styleId="Subtitle">
    <w:name w:val="Subtitle"/>
    <w:basedOn w:val="Normal"/>
    <w:next w:val="Normal"/>
    <w:link w:val="SubtitleChar"/>
    <w:uiPriority w:val="99"/>
    <w:qFormat/>
    <w:rsid w:val="00242386"/>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242386"/>
    <w:rPr>
      <w:rFonts w:ascii="Cambria" w:hAnsi="Cambria" w:cs="Times New Roman"/>
      <w:sz w:val="24"/>
      <w:szCs w:val="24"/>
      <w:lang w:eastAsia="cs-CZ"/>
    </w:rPr>
  </w:style>
  <w:style w:type="paragraph" w:styleId="ListParagraph">
    <w:name w:val="List Paragraph"/>
    <w:aliases w:val="Nad"/>
    <w:basedOn w:val="Normal"/>
    <w:link w:val="ListParagraphChar"/>
    <w:uiPriority w:val="99"/>
    <w:qFormat/>
    <w:rsid w:val="00514FD1"/>
    <w:pPr>
      <w:spacing w:after="200" w:line="276" w:lineRule="auto"/>
      <w:ind w:left="720"/>
      <w:contextualSpacing/>
    </w:pPr>
    <w:rPr>
      <w:rFonts w:ascii="Calibri" w:eastAsia="Calibri" w:hAnsi="Calibri"/>
      <w:sz w:val="20"/>
      <w:szCs w:val="20"/>
    </w:rPr>
  </w:style>
  <w:style w:type="character" w:customStyle="1" w:styleId="ListParagraphChar">
    <w:name w:val="List Paragraph Char"/>
    <w:aliases w:val="Nad Char"/>
    <w:link w:val="ListParagraph"/>
    <w:uiPriority w:val="99"/>
    <w:locked/>
    <w:rsid w:val="00514FD1"/>
    <w:rPr>
      <w:rFonts w:ascii="Calibri" w:hAnsi="Calibri"/>
    </w:rPr>
  </w:style>
  <w:style w:type="table" w:styleId="TableGrid">
    <w:name w:val="Table Grid"/>
    <w:basedOn w:val="TableNormal"/>
    <w:uiPriority w:val="99"/>
    <w:rsid w:val="00361FF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AB42EF"/>
    <w:rPr>
      <w:rFonts w:cs="Times New Roman"/>
      <w:sz w:val="16"/>
      <w:szCs w:val="16"/>
    </w:rPr>
  </w:style>
  <w:style w:type="paragraph" w:styleId="CommentText">
    <w:name w:val="annotation text"/>
    <w:basedOn w:val="Normal"/>
    <w:link w:val="CommentTextChar"/>
    <w:uiPriority w:val="99"/>
    <w:semiHidden/>
    <w:rsid w:val="00AB42EF"/>
    <w:rPr>
      <w:sz w:val="20"/>
      <w:szCs w:val="20"/>
    </w:rPr>
  </w:style>
  <w:style w:type="character" w:customStyle="1" w:styleId="CommentTextChar">
    <w:name w:val="Comment Text Char"/>
    <w:basedOn w:val="DefaultParagraphFont"/>
    <w:link w:val="CommentText"/>
    <w:uiPriority w:val="99"/>
    <w:semiHidden/>
    <w:locked/>
    <w:rsid w:val="00AB42EF"/>
    <w:rPr>
      <w:rFonts w:ascii="Times New Roman" w:hAnsi="Times New Roman" w:cs="Times New Roman"/>
      <w:sz w:val="20"/>
      <w:szCs w:val="20"/>
      <w:lang w:eastAsia="cs-CZ"/>
    </w:rPr>
  </w:style>
  <w:style w:type="paragraph" w:styleId="CommentSubject">
    <w:name w:val="annotation subject"/>
    <w:basedOn w:val="CommentText"/>
    <w:next w:val="CommentText"/>
    <w:link w:val="CommentSubjectChar"/>
    <w:uiPriority w:val="99"/>
    <w:semiHidden/>
    <w:rsid w:val="00AB42EF"/>
    <w:rPr>
      <w:b/>
      <w:bCs/>
    </w:rPr>
  </w:style>
  <w:style w:type="character" w:customStyle="1" w:styleId="CommentSubjectChar">
    <w:name w:val="Comment Subject Char"/>
    <w:basedOn w:val="CommentTextChar"/>
    <w:link w:val="CommentSubject"/>
    <w:uiPriority w:val="99"/>
    <w:semiHidden/>
    <w:locked/>
    <w:rsid w:val="00AB42EF"/>
    <w:rPr>
      <w:b/>
      <w:bCs/>
    </w:rPr>
  </w:style>
  <w:style w:type="paragraph" w:styleId="Revision">
    <w:name w:val="Revision"/>
    <w:hidden/>
    <w:uiPriority w:val="99"/>
    <w:semiHidden/>
    <w:rsid w:val="00AB42EF"/>
    <w:rPr>
      <w:rFonts w:ascii="Times New Roman" w:eastAsia="Times New Roman" w:hAnsi="Times New Roman"/>
      <w:sz w:val="24"/>
      <w:szCs w:val="24"/>
    </w:rPr>
  </w:style>
  <w:style w:type="character" w:styleId="Emphasis">
    <w:name w:val="Emphasis"/>
    <w:basedOn w:val="DefaultParagraphFont"/>
    <w:uiPriority w:val="99"/>
    <w:qFormat/>
    <w:rsid w:val="00360F88"/>
    <w:rPr>
      <w:rFonts w:cs="Times New Roman"/>
      <w:i/>
      <w:iCs/>
    </w:rPr>
  </w:style>
  <w:style w:type="paragraph" w:styleId="FootnoteText">
    <w:name w:val="footnote text"/>
    <w:basedOn w:val="Normal"/>
    <w:link w:val="FootnoteTextChar"/>
    <w:uiPriority w:val="99"/>
    <w:semiHidden/>
    <w:rsid w:val="0044051A"/>
    <w:rPr>
      <w:sz w:val="20"/>
      <w:szCs w:val="20"/>
    </w:rPr>
  </w:style>
  <w:style w:type="character" w:customStyle="1" w:styleId="FootnoteTextChar">
    <w:name w:val="Footnote Text Char"/>
    <w:basedOn w:val="DefaultParagraphFont"/>
    <w:link w:val="FootnoteText"/>
    <w:uiPriority w:val="99"/>
    <w:semiHidden/>
    <w:locked/>
    <w:rsid w:val="0044051A"/>
    <w:rPr>
      <w:rFonts w:ascii="Times New Roman" w:hAnsi="Times New Roman" w:cs="Times New Roman"/>
      <w:sz w:val="20"/>
      <w:szCs w:val="20"/>
      <w:lang w:eastAsia="cs-CZ"/>
    </w:rPr>
  </w:style>
  <w:style w:type="character" w:styleId="FootnoteReference">
    <w:name w:val="footnote reference"/>
    <w:basedOn w:val="DefaultParagraphFont"/>
    <w:uiPriority w:val="99"/>
    <w:semiHidden/>
    <w:rsid w:val="0044051A"/>
    <w:rPr>
      <w:rFonts w:cs="Times New Roman"/>
      <w:vertAlign w:val="superscript"/>
    </w:rPr>
  </w:style>
  <w:style w:type="paragraph" w:styleId="NoSpacing">
    <w:name w:val="No Spacing"/>
    <w:uiPriority w:val="99"/>
    <w:qFormat/>
    <w:rsid w:val="00805F5D"/>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56089092">
      <w:marLeft w:val="0"/>
      <w:marRight w:val="0"/>
      <w:marTop w:val="0"/>
      <w:marBottom w:val="0"/>
      <w:divBdr>
        <w:top w:val="none" w:sz="0" w:space="0" w:color="auto"/>
        <w:left w:val="none" w:sz="0" w:space="0" w:color="auto"/>
        <w:bottom w:val="none" w:sz="0" w:space="0" w:color="auto"/>
        <w:right w:val="none" w:sz="0" w:space="0" w:color="auto"/>
      </w:divBdr>
    </w:div>
    <w:div w:id="556089093">
      <w:marLeft w:val="0"/>
      <w:marRight w:val="0"/>
      <w:marTop w:val="0"/>
      <w:marBottom w:val="0"/>
      <w:divBdr>
        <w:top w:val="none" w:sz="0" w:space="0" w:color="auto"/>
        <w:left w:val="none" w:sz="0" w:space="0" w:color="auto"/>
        <w:bottom w:val="none" w:sz="0" w:space="0" w:color="auto"/>
        <w:right w:val="none" w:sz="0" w:space="0" w:color="auto"/>
      </w:divBdr>
      <w:divsChild>
        <w:div w:id="556089096">
          <w:marLeft w:val="547"/>
          <w:marRight w:val="0"/>
          <w:marTop w:val="86"/>
          <w:marBottom w:val="120"/>
          <w:divBdr>
            <w:top w:val="none" w:sz="0" w:space="0" w:color="auto"/>
            <w:left w:val="none" w:sz="0" w:space="0" w:color="auto"/>
            <w:bottom w:val="none" w:sz="0" w:space="0" w:color="auto"/>
            <w:right w:val="none" w:sz="0" w:space="0" w:color="auto"/>
          </w:divBdr>
        </w:div>
      </w:divsChild>
    </w:div>
    <w:div w:id="556089094">
      <w:marLeft w:val="0"/>
      <w:marRight w:val="0"/>
      <w:marTop w:val="0"/>
      <w:marBottom w:val="0"/>
      <w:divBdr>
        <w:top w:val="none" w:sz="0" w:space="0" w:color="auto"/>
        <w:left w:val="none" w:sz="0" w:space="0" w:color="auto"/>
        <w:bottom w:val="none" w:sz="0" w:space="0" w:color="auto"/>
        <w:right w:val="none" w:sz="0" w:space="0" w:color="auto"/>
      </w:divBdr>
    </w:div>
    <w:div w:id="556089099">
      <w:marLeft w:val="0"/>
      <w:marRight w:val="0"/>
      <w:marTop w:val="0"/>
      <w:marBottom w:val="0"/>
      <w:divBdr>
        <w:top w:val="none" w:sz="0" w:space="0" w:color="auto"/>
        <w:left w:val="none" w:sz="0" w:space="0" w:color="auto"/>
        <w:bottom w:val="none" w:sz="0" w:space="0" w:color="auto"/>
        <w:right w:val="none" w:sz="0" w:space="0" w:color="auto"/>
      </w:divBdr>
      <w:divsChild>
        <w:div w:id="556089130">
          <w:marLeft w:val="547"/>
          <w:marRight w:val="0"/>
          <w:marTop w:val="86"/>
          <w:marBottom w:val="120"/>
          <w:divBdr>
            <w:top w:val="none" w:sz="0" w:space="0" w:color="auto"/>
            <w:left w:val="none" w:sz="0" w:space="0" w:color="auto"/>
            <w:bottom w:val="none" w:sz="0" w:space="0" w:color="auto"/>
            <w:right w:val="none" w:sz="0" w:space="0" w:color="auto"/>
          </w:divBdr>
        </w:div>
      </w:divsChild>
    </w:div>
    <w:div w:id="556089102">
      <w:marLeft w:val="0"/>
      <w:marRight w:val="0"/>
      <w:marTop w:val="0"/>
      <w:marBottom w:val="0"/>
      <w:divBdr>
        <w:top w:val="none" w:sz="0" w:space="0" w:color="auto"/>
        <w:left w:val="none" w:sz="0" w:space="0" w:color="auto"/>
        <w:bottom w:val="none" w:sz="0" w:space="0" w:color="auto"/>
        <w:right w:val="none" w:sz="0" w:space="0" w:color="auto"/>
      </w:divBdr>
    </w:div>
    <w:div w:id="556089104">
      <w:marLeft w:val="0"/>
      <w:marRight w:val="0"/>
      <w:marTop w:val="0"/>
      <w:marBottom w:val="0"/>
      <w:divBdr>
        <w:top w:val="none" w:sz="0" w:space="0" w:color="auto"/>
        <w:left w:val="none" w:sz="0" w:space="0" w:color="auto"/>
        <w:bottom w:val="none" w:sz="0" w:space="0" w:color="auto"/>
        <w:right w:val="none" w:sz="0" w:space="0" w:color="auto"/>
      </w:divBdr>
    </w:div>
    <w:div w:id="556089105">
      <w:marLeft w:val="0"/>
      <w:marRight w:val="0"/>
      <w:marTop w:val="0"/>
      <w:marBottom w:val="0"/>
      <w:divBdr>
        <w:top w:val="none" w:sz="0" w:space="0" w:color="auto"/>
        <w:left w:val="none" w:sz="0" w:space="0" w:color="auto"/>
        <w:bottom w:val="none" w:sz="0" w:space="0" w:color="auto"/>
        <w:right w:val="none" w:sz="0" w:space="0" w:color="auto"/>
      </w:divBdr>
    </w:div>
    <w:div w:id="556089107">
      <w:marLeft w:val="0"/>
      <w:marRight w:val="0"/>
      <w:marTop w:val="0"/>
      <w:marBottom w:val="0"/>
      <w:divBdr>
        <w:top w:val="none" w:sz="0" w:space="0" w:color="auto"/>
        <w:left w:val="none" w:sz="0" w:space="0" w:color="auto"/>
        <w:bottom w:val="none" w:sz="0" w:space="0" w:color="auto"/>
        <w:right w:val="none" w:sz="0" w:space="0" w:color="auto"/>
      </w:divBdr>
      <w:divsChild>
        <w:div w:id="556089098">
          <w:marLeft w:val="547"/>
          <w:marRight w:val="0"/>
          <w:marTop w:val="86"/>
          <w:marBottom w:val="0"/>
          <w:divBdr>
            <w:top w:val="none" w:sz="0" w:space="0" w:color="auto"/>
            <w:left w:val="none" w:sz="0" w:space="0" w:color="auto"/>
            <w:bottom w:val="none" w:sz="0" w:space="0" w:color="auto"/>
            <w:right w:val="none" w:sz="0" w:space="0" w:color="auto"/>
          </w:divBdr>
        </w:div>
        <w:div w:id="556089101">
          <w:marLeft w:val="547"/>
          <w:marRight w:val="0"/>
          <w:marTop w:val="86"/>
          <w:marBottom w:val="0"/>
          <w:divBdr>
            <w:top w:val="none" w:sz="0" w:space="0" w:color="auto"/>
            <w:left w:val="none" w:sz="0" w:space="0" w:color="auto"/>
            <w:bottom w:val="none" w:sz="0" w:space="0" w:color="auto"/>
            <w:right w:val="none" w:sz="0" w:space="0" w:color="auto"/>
          </w:divBdr>
        </w:div>
        <w:div w:id="556089106">
          <w:marLeft w:val="547"/>
          <w:marRight w:val="0"/>
          <w:marTop w:val="86"/>
          <w:marBottom w:val="0"/>
          <w:divBdr>
            <w:top w:val="none" w:sz="0" w:space="0" w:color="auto"/>
            <w:left w:val="none" w:sz="0" w:space="0" w:color="auto"/>
            <w:bottom w:val="none" w:sz="0" w:space="0" w:color="auto"/>
            <w:right w:val="none" w:sz="0" w:space="0" w:color="auto"/>
          </w:divBdr>
        </w:div>
        <w:div w:id="556089108">
          <w:marLeft w:val="547"/>
          <w:marRight w:val="0"/>
          <w:marTop w:val="86"/>
          <w:marBottom w:val="0"/>
          <w:divBdr>
            <w:top w:val="none" w:sz="0" w:space="0" w:color="auto"/>
            <w:left w:val="none" w:sz="0" w:space="0" w:color="auto"/>
            <w:bottom w:val="none" w:sz="0" w:space="0" w:color="auto"/>
            <w:right w:val="none" w:sz="0" w:space="0" w:color="auto"/>
          </w:divBdr>
        </w:div>
        <w:div w:id="556089109">
          <w:marLeft w:val="547"/>
          <w:marRight w:val="0"/>
          <w:marTop w:val="86"/>
          <w:marBottom w:val="0"/>
          <w:divBdr>
            <w:top w:val="none" w:sz="0" w:space="0" w:color="auto"/>
            <w:left w:val="none" w:sz="0" w:space="0" w:color="auto"/>
            <w:bottom w:val="none" w:sz="0" w:space="0" w:color="auto"/>
            <w:right w:val="none" w:sz="0" w:space="0" w:color="auto"/>
          </w:divBdr>
        </w:div>
        <w:div w:id="556089112">
          <w:marLeft w:val="547"/>
          <w:marRight w:val="0"/>
          <w:marTop w:val="86"/>
          <w:marBottom w:val="0"/>
          <w:divBdr>
            <w:top w:val="none" w:sz="0" w:space="0" w:color="auto"/>
            <w:left w:val="none" w:sz="0" w:space="0" w:color="auto"/>
            <w:bottom w:val="none" w:sz="0" w:space="0" w:color="auto"/>
            <w:right w:val="none" w:sz="0" w:space="0" w:color="auto"/>
          </w:divBdr>
        </w:div>
        <w:div w:id="556089113">
          <w:marLeft w:val="547"/>
          <w:marRight w:val="0"/>
          <w:marTop w:val="86"/>
          <w:marBottom w:val="0"/>
          <w:divBdr>
            <w:top w:val="none" w:sz="0" w:space="0" w:color="auto"/>
            <w:left w:val="none" w:sz="0" w:space="0" w:color="auto"/>
            <w:bottom w:val="none" w:sz="0" w:space="0" w:color="auto"/>
            <w:right w:val="none" w:sz="0" w:space="0" w:color="auto"/>
          </w:divBdr>
        </w:div>
        <w:div w:id="556089115">
          <w:marLeft w:val="547"/>
          <w:marRight w:val="0"/>
          <w:marTop w:val="86"/>
          <w:marBottom w:val="0"/>
          <w:divBdr>
            <w:top w:val="none" w:sz="0" w:space="0" w:color="auto"/>
            <w:left w:val="none" w:sz="0" w:space="0" w:color="auto"/>
            <w:bottom w:val="none" w:sz="0" w:space="0" w:color="auto"/>
            <w:right w:val="none" w:sz="0" w:space="0" w:color="auto"/>
          </w:divBdr>
        </w:div>
        <w:div w:id="556089116">
          <w:marLeft w:val="547"/>
          <w:marRight w:val="0"/>
          <w:marTop w:val="86"/>
          <w:marBottom w:val="0"/>
          <w:divBdr>
            <w:top w:val="none" w:sz="0" w:space="0" w:color="auto"/>
            <w:left w:val="none" w:sz="0" w:space="0" w:color="auto"/>
            <w:bottom w:val="none" w:sz="0" w:space="0" w:color="auto"/>
            <w:right w:val="none" w:sz="0" w:space="0" w:color="auto"/>
          </w:divBdr>
        </w:div>
        <w:div w:id="556089118">
          <w:marLeft w:val="547"/>
          <w:marRight w:val="0"/>
          <w:marTop w:val="86"/>
          <w:marBottom w:val="0"/>
          <w:divBdr>
            <w:top w:val="none" w:sz="0" w:space="0" w:color="auto"/>
            <w:left w:val="none" w:sz="0" w:space="0" w:color="auto"/>
            <w:bottom w:val="none" w:sz="0" w:space="0" w:color="auto"/>
            <w:right w:val="none" w:sz="0" w:space="0" w:color="auto"/>
          </w:divBdr>
        </w:div>
        <w:div w:id="556089119">
          <w:marLeft w:val="547"/>
          <w:marRight w:val="0"/>
          <w:marTop w:val="86"/>
          <w:marBottom w:val="120"/>
          <w:divBdr>
            <w:top w:val="none" w:sz="0" w:space="0" w:color="auto"/>
            <w:left w:val="none" w:sz="0" w:space="0" w:color="auto"/>
            <w:bottom w:val="none" w:sz="0" w:space="0" w:color="auto"/>
            <w:right w:val="none" w:sz="0" w:space="0" w:color="auto"/>
          </w:divBdr>
        </w:div>
        <w:div w:id="556089133">
          <w:marLeft w:val="547"/>
          <w:marRight w:val="0"/>
          <w:marTop w:val="86"/>
          <w:marBottom w:val="120"/>
          <w:divBdr>
            <w:top w:val="none" w:sz="0" w:space="0" w:color="auto"/>
            <w:left w:val="none" w:sz="0" w:space="0" w:color="auto"/>
            <w:bottom w:val="none" w:sz="0" w:space="0" w:color="auto"/>
            <w:right w:val="none" w:sz="0" w:space="0" w:color="auto"/>
          </w:divBdr>
        </w:div>
      </w:divsChild>
    </w:div>
    <w:div w:id="556089110">
      <w:marLeft w:val="0"/>
      <w:marRight w:val="0"/>
      <w:marTop w:val="0"/>
      <w:marBottom w:val="0"/>
      <w:divBdr>
        <w:top w:val="none" w:sz="0" w:space="0" w:color="auto"/>
        <w:left w:val="none" w:sz="0" w:space="0" w:color="auto"/>
        <w:bottom w:val="none" w:sz="0" w:space="0" w:color="auto"/>
        <w:right w:val="none" w:sz="0" w:space="0" w:color="auto"/>
      </w:divBdr>
      <w:divsChild>
        <w:div w:id="556089103">
          <w:marLeft w:val="547"/>
          <w:marRight w:val="0"/>
          <w:marTop w:val="86"/>
          <w:marBottom w:val="120"/>
          <w:divBdr>
            <w:top w:val="none" w:sz="0" w:space="0" w:color="auto"/>
            <w:left w:val="none" w:sz="0" w:space="0" w:color="auto"/>
            <w:bottom w:val="none" w:sz="0" w:space="0" w:color="auto"/>
            <w:right w:val="none" w:sz="0" w:space="0" w:color="auto"/>
          </w:divBdr>
        </w:div>
        <w:div w:id="556089111">
          <w:marLeft w:val="547"/>
          <w:marRight w:val="0"/>
          <w:marTop w:val="86"/>
          <w:marBottom w:val="120"/>
          <w:divBdr>
            <w:top w:val="none" w:sz="0" w:space="0" w:color="auto"/>
            <w:left w:val="none" w:sz="0" w:space="0" w:color="auto"/>
            <w:bottom w:val="none" w:sz="0" w:space="0" w:color="auto"/>
            <w:right w:val="none" w:sz="0" w:space="0" w:color="auto"/>
          </w:divBdr>
        </w:div>
        <w:div w:id="556089114">
          <w:marLeft w:val="547"/>
          <w:marRight w:val="0"/>
          <w:marTop w:val="86"/>
          <w:marBottom w:val="120"/>
          <w:divBdr>
            <w:top w:val="none" w:sz="0" w:space="0" w:color="auto"/>
            <w:left w:val="none" w:sz="0" w:space="0" w:color="auto"/>
            <w:bottom w:val="none" w:sz="0" w:space="0" w:color="auto"/>
            <w:right w:val="none" w:sz="0" w:space="0" w:color="auto"/>
          </w:divBdr>
        </w:div>
        <w:div w:id="556089122">
          <w:marLeft w:val="547"/>
          <w:marRight w:val="0"/>
          <w:marTop w:val="86"/>
          <w:marBottom w:val="120"/>
          <w:divBdr>
            <w:top w:val="none" w:sz="0" w:space="0" w:color="auto"/>
            <w:left w:val="none" w:sz="0" w:space="0" w:color="auto"/>
            <w:bottom w:val="none" w:sz="0" w:space="0" w:color="auto"/>
            <w:right w:val="none" w:sz="0" w:space="0" w:color="auto"/>
          </w:divBdr>
        </w:div>
        <w:div w:id="556089132">
          <w:marLeft w:val="547"/>
          <w:marRight w:val="0"/>
          <w:marTop w:val="86"/>
          <w:marBottom w:val="120"/>
          <w:divBdr>
            <w:top w:val="none" w:sz="0" w:space="0" w:color="auto"/>
            <w:left w:val="none" w:sz="0" w:space="0" w:color="auto"/>
            <w:bottom w:val="none" w:sz="0" w:space="0" w:color="auto"/>
            <w:right w:val="none" w:sz="0" w:space="0" w:color="auto"/>
          </w:divBdr>
        </w:div>
      </w:divsChild>
    </w:div>
    <w:div w:id="556089117">
      <w:marLeft w:val="0"/>
      <w:marRight w:val="0"/>
      <w:marTop w:val="0"/>
      <w:marBottom w:val="0"/>
      <w:divBdr>
        <w:top w:val="none" w:sz="0" w:space="0" w:color="auto"/>
        <w:left w:val="none" w:sz="0" w:space="0" w:color="auto"/>
        <w:bottom w:val="none" w:sz="0" w:space="0" w:color="auto"/>
        <w:right w:val="none" w:sz="0" w:space="0" w:color="auto"/>
      </w:divBdr>
    </w:div>
    <w:div w:id="556089120">
      <w:marLeft w:val="0"/>
      <w:marRight w:val="0"/>
      <w:marTop w:val="0"/>
      <w:marBottom w:val="0"/>
      <w:divBdr>
        <w:top w:val="none" w:sz="0" w:space="0" w:color="auto"/>
        <w:left w:val="none" w:sz="0" w:space="0" w:color="auto"/>
        <w:bottom w:val="none" w:sz="0" w:space="0" w:color="auto"/>
        <w:right w:val="none" w:sz="0" w:space="0" w:color="auto"/>
      </w:divBdr>
      <w:divsChild>
        <w:div w:id="556089095">
          <w:marLeft w:val="547"/>
          <w:marRight w:val="0"/>
          <w:marTop w:val="86"/>
          <w:marBottom w:val="120"/>
          <w:divBdr>
            <w:top w:val="none" w:sz="0" w:space="0" w:color="auto"/>
            <w:left w:val="none" w:sz="0" w:space="0" w:color="auto"/>
            <w:bottom w:val="none" w:sz="0" w:space="0" w:color="auto"/>
            <w:right w:val="none" w:sz="0" w:space="0" w:color="auto"/>
          </w:divBdr>
        </w:div>
        <w:div w:id="556089100">
          <w:marLeft w:val="547"/>
          <w:marRight w:val="0"/>
          <w:marTop w:val="86"/>
          <w:marBottom w:val="120"/>
          <w:divBdr>
            <w:top w:val="none" w:sz="0" w:space="0" w:color="auto"/>
            <w:left w:val="none" w:sz="0" w:space="0" w:color="auto"/>
            <w:bottom w:val="none" w:sz="0" w:space="0" w:color="auto"/>
            <w:right w:val="none" w:sz="0" w:space="0" w:color="auto"/>
          </w:divBdr>
        </w:div>
        <w:div w:id="556089123">
          <w:marLeft w:val="547"/>
          <w:marRight w:val="0"/>
          <w:marTop w:val="86"/>
          <w:marBottom w:val="120"/>
          <w:divBdr>
            <w:top w:val="none" w:sz="0" w:space="0" w:color="auto"/>
            <w:left w:val="none" w:sz="0" w:space="0" w:color="auto"/>
            <w:bottom w:val="none" w:sz="0" w:space="0" w:color="auto"/>
            <w:right w:val="none" w:sz="0" w:space="0" w:color="auto"/>
          </w:divBdr>
        </w:div>
        <w:div w:id="556089125">
          <w:marLeft w:val="547"/>
          <w:marRight w:val="0"/>
          <w:marTop w:val="86"/>
          <w:marBottom w:val="120"/>
          <w:divBdr>
            <w:top w:val="none" w:sz="0" w:space="0" w:color="auto"/>
            <w:left w:val="none" w:sz="0" w:space="0" w:color="auto"/>
            <w:bottom w:val="none" w:sz="0" w:space="0" w:color="auto"/>
            <w:right w:val="none" w:sz="0" w:space="0" w:color="auto"/>
          </w:divBdr>
        </w:div>
        <w:div w:id="556089134">
          <w:marLeft w:val="547"/>
          <w:marRight w:val="0"/>
          <w:marTop w:val="86"/>
          <w:marBottom w:val="120"/>
          <w:divBdr>
            <w:top w:val="none" w:sz="0" w:space="0" w:color="auto"/>
            <w:left w:val="none" w:sz="0" w:space="0" w:color="auto"/>
            <w:bottom w:val="none" w:sz="0" w:space="0" w:color="auto"/>
            <w:right w:val="none" w:sz="0" w:space="0" w:color="auto"/>
          </w:divBdr>
        </w:div>
        <w:div w:id="556089137">
          <w:marLeft w:val="547"/>
          <w:marRight w:val="0"/>
          <w:marTop w:val="86"/>
          <w:marBottom w:val="120"/>
          <w:divBdr>
            <w:top w:val="none" w:sz="0" w:space="0" w:color="auto"/>
            <w:left w:val="none" w:sz="0" w:space="0" w:color="auto"/>
            <w:bottom w:val="none" w:sz="0" w:space="0" w:color="auto"/>
            <w:right w:val="none" w:sz="0" w:space="0" w:color="auto"/>
          </w:divBdr>
        </w:div>
      </w:divsChild>
    </w:div>
    <w:div w:id="556089121">
      <w:marLeft w:val="0"/>
      <w:marRight w:val="0"/>
      <w:marTop w:val="0"/>
      <w:marBottom w:val="0"/>
      <w:divBdr>
        <w:top w:val="none" w:sz="0" w:space="0" w:color="auto"/>
        <w:left w:val="none" w:sz="0" w:space="0" w:color="auto"/>
        <w:bottom w:val="none" w:sz="0" w:space="0" w:color="auto"/>
        <w:right w:val="none" w:sz="0" w:space="0" w:color="auto"/>
      </w:divBdr>
    </w:div>
    <w:div w:id="556089124">
      <w:marLeft w:val="0"/>
      <w:marRight w:val="0"/>
      <w:marTop w:val="0"/>
      <w:marBottom w:val="0"/>
      <w:divBdr>
        <w:top w:val="none" w:sz="0" w:space="0" w:color="auto"/>
        <w:left w:val="none" w:sz="0" w:space="0" w:color="auto"/>
        <w:bottom w:val="none" w:sz="0" w:space="0" w:color="auto"/>
        <w:right w:val="none" w:sz="0" w:space="0" w:color="auto"/>
      </w:divBdr>
    </w:div>
    <w:div w:id="556089126">
      <w:marLeft w:val="0"/>
      <w:marRight w:val="0"/>
      <w:marTop w:val="0"/>
      <w:marBottom w:val="0"/>
      <w:divBdr>
        <w:top w:val="none" w:sz="0" w:space="0" w:color="auto"/>
        <w:left w:val="none" w:sz="0" w:space="0" w:color="auto"/>
        <w:bottom w:val="none" w:sz="0" w:space="0" w:color="auto"/>
        <w:right w:val="none" w:sz="0" w:space="0" w:color="auto"/>
      </w:divBdr>
      <w:divsChild>
        <w:div w:id="556089097">
          <w:marLeft w:val="547"/>
          <w:marRight w:val="0"/>
          <w:marTop w:val="86"/>
          <w:marBottom w:val="120"/>
          <w:divBdr>
            <w:top w:val="none" w:sz="0" w:space="0" w:color="auto"/>
            <w:left w:val="none" w:sz="0" w:space="0" w:color="auto"/>
            <w:bottom w:val="none" w:sz="0" w:space="0" w:color="auto"/>
            <w:right w:val="none" w:sz="0" w:space="0" w:color="auto"/>
          </w:divBdr>
        </w:div>
      </w:divsChild>
    </w:div>
    <w:div w:id="556089127">
      <w:marLeft w:val="0"/>
      <w:marRight w:val="0"/>
      <w:marTop w:val="0"/>
      <w:marBottom w:val="0"/>
      <w:divBdr>
        <w:top w:val="none" w:sz="0" w:space="0" w:color="auto"/>
        <w:left w:val="none" w:sz="0" w:space="0" w:color="auto"/>
        <w:bottom w:val="none" w:sz="0" w:space="0" w:color="auto"/>
        <w:right w:val="none" w:sz="0" w:space="0" w:color="auto"/>
      </w:divBdr>
    </w:div>
    <w:div w:id="556089128">
      <w:marLeft w:val="0"/>
      <w:marRight w:val="0"/>
      <w:marTop w:val="0"/>
      <w:marBottom w:val="0"/>
      <w:divBdr>
        <w:top w:val="none" w:sz="0" w:space="0" w:color="auto"/>
        <w:left w:val="none" w:sz="0" w:space="0" w:color="auto"/>
        <w:bottom w:val="none" w:sz="0" w:space="0" w:color="auto"/>
        <w:right w:val="none" w:sz="0" w:space="0" w:color="auto"/>
      </w:divBdr>
    </w:div>
    <w:div w:id="556089129">
      <w:marLeft w:val="0"/>
      <w:marRight w:val="0"/>
      <w:marTop w:val="0"/>
      <w:marBottom w:val="0"/>
      <w:divBdr>
        <w:top w:val="none" w:sz="0" w:space="0" w:color="auto"/>
        <w:left w:val="none" w:sz="0" w:space="0" w:color="auto"/>
        <w:bottom w:val="none" w:sz="0" w:space="0" w:color="auto"/>
        <w:right w:val="none" w:sz="0" w:space="0" w:color="auto"/>
      </w:divBdr>
    </w:div>
    <w:div w:id="556089135">
      <w:marLeft w:val="0"/>
      <w:marRight w:val="0"/>
      <w:marTop w:val="0"/>
      <w:marBottom w:val="0"/>
      <w:divBdr>
        <w:top w:val="none" w:sz="0" w:space="0" w:color="auto"/>
        <w:left w:val="none" w:sz="0" w:space="0" w:color="auto"/>
        <w:bottom w:val="none" w:sz="0" w:space="0" w:color="auto"/>
        <w:right w:val="none" w:sz="0" w:space="0" w:color="auto"/>
      </w:divBdr>
    </w:div>
    <w:div w:id="556089136">
      <w:marLeft w:val="0"/>
      <w:marRight w:val="0"/>
      <w:marTop w:val="0"/>
      <w:marBottom w:val="0"/>
      <w:divBdr>
        <w:top w:val="none" w:sz="0" w:space="0" w:color="auto"/>
        <w:left w:val="none" w:sz="0" w:space="0" w:color="auto"/>
        <w:bottom w:val="none" w:sz="0" w:space="0" w:color="auto"/>
        <w:right w:val="none" w:sz="0" w:space="0" w:color="auto"/>
      </w:divBdr>
      <w:divsChild>
        <w:div w:id="556089131">
          <w:marLeft w:val="547"/>
          <w:marRight w:val="0"/>
          <w:marTop w:val="86"/>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1565</Words>
  <Characters>9234</Characters>
  <Application>Microsoft Office Outlook</Application>
  <DocSecurity>0</DocSecurity>
  <Lines>0</Lines>
  <Paragraphs>0</Paragraphs>
  <ScaleCrop>false</ScaleCrop>
  <Company>Úřad vlády ČR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Švehla Jan Mgr.</dc:creator>
  <cp:keywords/>
  <dc:description/>
  <cp:lastModifiedBy>Barták Adam, Mgr.</cp:lastModifiedBy>
  <cp:revision>2</cp:revision>
  <cp:lastPrinted>2017-11-06T06:58:00Z</cp:lastPrinted>
  <dcterms:created xsi:type="dcterms:W3CDTF">2018-02-05T09:43:00Z</dcterms:created>
  <dcterms:modified xsi:type="dcterms:W3CDTF">2018-02-05T09:43:00Z</dcterms:modified>
</cp:coreProperties>
</file>